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B5" w:rsidRPr="008821B5" w:rsidRDefault="008821B5" w:rsidP="008821B5">
      <w:pPr>
        <w:spacing w:after="0" w:line="240" w:lineRule="auto"/>
        <w:jc w:val="center"/>
        <w:rPr>
          <w:rFonts w:ascii="Times New Roman" w:eastAsia="Times New Roman" w:hAnsi="Times New Roman" w:cs="Times New Roman"/>
          <w:b/>
          <w:color w:val="000000"/>
          <w:lang w:val="en-US" w:eastAsia="en-CA"/>
        </w:rPr>
      </w:pPr>
      <w:r w:rsidRPr="008821B5">
        <w:rPr>
          <w:rFonts w:ascii="Times New Roman" w:eastAsia="Times New Roman" w:hAnsi="Times New Roman" w:cs="Times New Roman"/>
          <w:b/>
          <w:color w:val="000000"/>
          <w:lang w:val="en-US" w:eastAsia="en-CA"/>
        </w:rPr>
        <w:t xml:space="preserve">Comments and responses on the draft guidance </w:t>
      </w:r>
      <w:r w:rsidRPr="008821B5">
        <w:rPr>
          <w:rFonts w:ascii="Times New Roman" w:eastAsia="Times New Roman" w:hAnsi="Times New Roman" w:cs="Times New Roman"/>
          <w:b/>
          <w:bCs/>
          <w:color w:val="000000"/>
          <w:lang w:val="en-GB" w:eastAsia="en-CA"/>
        </w:rPr>
        <w:t xml:space="preserve">for the inventory of </w:t>
      </w:r>
      <w:proofErr w:type="spellStart"/>
      <w:r w:rsidR="004C6804">
        <w:rPr>
          <w:rFonts w:ascii="Times New Roman" w:eastAsia="Times New Roman" w:hAnsi="Times New Roman" w:cs="Times New Roman"/>
          <w:b/>
          <w:bCs/>
          <w:color w:val="000000"/>
          <w:lang w:val="en-GB" w:eastAsia="en-CA"/>
        </w:rPr>
        <w:t>polybrominated</w:t>
      </w:r>
      <w:proofErr w:type="spellEnd"/>
      <w:r w:rsidR="004C6804">
        <w:rPr>
          <w:rFonts w:ascii="Times New Roman" w:eastAsia="Times New Roman" w:hAnsi="Times New Roman" w:cs="Times New Roman"/>
          <w:b/>
          <w:bCs/>
          <w:color w:val="000000"/>
          <w:lang w:val="en-GB" w:eastAsia="en-CA"/>
        </w:rPr>
        <w:t xml:space="preserve"> </w:t>
      </w:r>
      <w:proofErr w:type="spellStart"/>
      <w:r w:rsidR="004C6804">
        <w:rPr>
          <w:rFonts w:ascii="Times New Roman" w:eastAsia="Times New Roman" w:hAnsi="Times New Roman" w:cs="Times New Roman"/>
          <w:b/>
          <w:bCs/>
          <w:color w:val="000000"/>
          <w:lang w:val="en-GB" w:eastAsia="en-CA"/>
        </w:rPr>
        <w:t>diphenyl</w:t>
      </w:r>
      <w:proofErr w:type="spellEnd"/>
      <w:r w:rsidR="004C6804">
        <w:rPr>
          <w:rFonts w:ascii="Times New Roman" w:eastAsia="Times New Roman" w:hAnsi="Times New Roman" w:cs="Times New Roman"/>
          <w:b/>
          <w:bCs/>
          <w:color w:val="000000"/>
          <w:lang w:val="en-GB" w:eastAsia="en-CA"/>
        </w:rPr>
        <w:t xml:space="preserve"> ethers </w:t>
      </w:r>
      <w:r w:rsidRPr="008821B5">
        <w:rPr>
          <w:rFonts w:ascii="Times New Roman" w:eastAsia="Times New Roman" w:hAnsi="Times New Roman" w:cs="Times New Roman"/>
          <w:b/>
          <w:bCs/>
          <w:color w:val="000000"/>
          <w:lang w:val="en-GB" w:eastAsia="en-CA"/>
        </w:rPr>
        <w:t>listed under the Stockholm Convention on POPs</w:t>
      </w:r>
      <w:r w:rsidRPr="008821B5">
        <w:rPr>
          <w:rFonts w:ascii="Times New Roman" w:eastAsia="Times New Roman" w:hAnsi="Times New Roman" w:cs="Times New Roman"/>
          <w:b/>
          <w:color w:val="000000"/>
          <w:lang w:val="en-US" w:eastAsia="en-CA"/>
        </w:rPr>
        <w:footnoteReference w:id="1"/>
      </w:r>
    </w:p>
    <w:p w:rsidR="00265F9C" w:rsidRPr="008821B5" w:rsidRDefault="00265F9C" w:rsidP="00265F9C">
      <w:pPr>
        <w:spacing w:after="0" w:line="240" w:lineRule="auto"/>
        <w:rPr>
          <w:rFonts w:ascii="Arial" w:eastAsia="Times New Roman" w:hAnsi="Arial" w:cs="Times New Roman"/>
          <w:b/>
          <w:color w:val="000000"/>
          <w:u w:val="single"/>
          <w:lang w:val="en-US" w:eastAsia="en-CA"/>
        </w:rPr>
      </w:pPr>
    </w:p>
    <w:p w:rsidR="00265F9C" w:rsidRPr="00265F9C" w:rsidRDefault="00265F9C" w:rsidP="00265F9C">
      <w:pPr>
        <w:spacing w:after="0" w:line="240" w:lineRule="auto"/>
        <w:rPr>
          <w:rFonts w:ascii="Symbol" w:eastAsia="Times New Roman" w:hAnsi="Symbol" w:cs="Times New Roman"/>
          <w:b/>
          <w:sz w:val="28"/>
          <w:szCs w:val="28"/>
          <w:lang w:eastAsia="en-CA"/>
        </w:rPr>
      </w:pPr>
    </w:p>
    <w:tbl>
      <w:tblPr>
        <w:tblStyle w:val="TableGrid"/>
        <w:tblW w:w="0" w:type="auto"/>
        <w:tblLook w:val="04A0"/>
      </w:tblPr>
      <w:tblGrid>
        <w:gridCol w:w="1008"/>
        <w:gridCol w:w="2700"/>
        <w:gridCol w:w="5472"/>
        <w:gridCol w:w="3996"/>
      </w:tblGrid>
      <w:tr w:rsidR="008821B5" w:rsidRPr="009037BE" w:rsidTr="009E1CF9">
        <w:trPr>
          <w:tblHeader/>
        </w:trPr>
        <w:tc>
          <w:tcPr>
            <w:tcW w:w="1008" w:type="dxa"/>
            <w:vAlign w:val="center"/>
          </w:tcPr>
          <w:p w:rsidR="008821B5" w:rsidRPr="009037BE" w:rsidRDefault="008821B5" w:rsidP="009E1CF9">
            <w:pPr>
              <w:jc w:val="center"/>
              <w:rPr>
                <w:rFonts w:ascii="Times New Roman" w:hAnsi="Times New Roman" w:cs="Times New Roman"/>
                <w:b/>
                <w:sz w:val="20"/>
                <w:szCs w:val="20"/>
              </w:rPr>
            </w:pPr>
            <w:r w:rsidRPr="009037BE">
              <w:rPr>
                <w:rFonts w:ascii="Times New Roman" w:hAnsi="Times New Roman" w:cs="Times New Roman"/>
                <w:b/>
                <w:sz w:val="20"/>
                <w:szCs w:val="20"/>
              </w:rPr>
              <w:t>Origin</w:t>
            </w:r>
          </w:p>
        </w:tc>
        <w:tc>
          <w:tcPr>
            <w:tcW w:w="2700" w:type="dxa"/>
          </w:tcPr>
          <w:p w:rsidR="008821B5" w:rsidRPr="009037BE" w:rsidRDefault="008821B5" w:rsidP="009E1CF9">
            <w:pPr>
              <w:rPr>
                <w:rFonts w:ascii="Times New Roman" w:hAnsi="Times New Roman" w:cs="Times New Roman"/>
                <w:b/>
                <w:sz w:val="20"/>
                <w:szCs w:val="20"/>
              </w:rPr>
            </w:pPr>
            <w:r w:rsidRPr="009037BE">
              <w:rPr>
                <w:rFonts w:ascii="Times New Roman" w:hAnsi="Times New Roman" w:cs="Times New Roman"/>
                <w:b/>
                <w:sz w:val="20"/>
                <w:szCs w:val="20"/>
              </w:rPr>
              <w:t>Issue area</w:t>
            </w:r>
          </w:p>
        </w:tc>
        <w:tc>
          <w:tcPr>
            <w:tcW w:w="5472" w:type="dxa"/>
          </w:tcPr>
          <w:p w:rsidR="008821B5" w:rsidRPr="009037BE" w:rsidRDefault="008821B5" w:rsidP="009E1CF9">
            <w:pPr>
              <w:rPr>
                <w:rFonts w:ascii="Times New Roman" w:hAnsi="Times New Roman" w:cs="Times New Roman"/>
                <w:b/>
                <w:sz w:val="20"/>
                <w:szCs w:val="20"/>
              </w:rPr>
            </w:pPr>
            <w:r w:rsidRPr="009037BE">
              <w:rPr>
                <w:rFonts w:ascii="Times New Roman" w:hAnsi="Times New Roman" w:cs="Times New Roman"/>
                <w:b/>
                <w:sz w:val="20"/>
                <w:szCs w:val="20"/>
              </w:rPr>
              <w:t>Comment</w:t>
            </w:r>
          </w:p>
        </w:tc>
        <w:tc>
          <w:tcPr>
            <w:tcW w:w="3996" w:type="dxa"/>
          </w:tcPr>
          <w:p w:rsidR="008821B5" w:rsidRPr="009037BE" w:rsidRDefault="008821B5" w:rsidP="009E1CF9">
            <w:pPr>
              <w:rPr>
                <w:rFonts w:ascii="Times New Roman" w:hAnsi="Times New Roman" w:cs="Times New Roman"/>
                <w:b/>
                <w:sz w:val="20"/>
                <w:szCs w:val="20"/>
              </w:rPr>
            </w:pPr>
            <w:r w:rsidRPr="009037BE">
              <w:rPr>
                <w:rFonts w:ascii="Times New Roman" w:hAnsi="Times New Roman" w:cs="Times New Roman"/>
                <w:b/>
                <w:sz w:val="20"/>
                <w:szCs w:val="20"/>
              </w:rPr>
              <w:t>Response</w:t>
            </w:r>
          </w:p>
        </w:tc>
      </w:tr>
      <w:tr w:rsidR="008821B5" w:rsidRPr="009037BE" w:rsidTr="000A60AA">
        <w:tc>
          <w:tcPr>
            <w:tcW w:w="1008" w:type="dxa"/>
            <w:vAlign w:val="center"/>
          </w:tcPr>
          <w:p w:rsidR="008821B5" w:rsidRPr="008821B5" w:rsidRDefault="008821B5" w:rsidP="009E1CF9">
            <w:pPr>
              <w:autoSpaceDE w:val="0"/>
              <w:autoSpaceDN w:val="0"/>
              <w:adjustRightInd w:val="0"/>
              <w:spacing w:before="120" w:after="120"/>
              <w:jc w:val="center"/>
              <w:rPr>
                <w:rFonts w:ascii="Times New Roman" w:eastAsia="Calibri" w:hAnsi="Times New Roman" w:cs="Times New Roman"/>
                <w:color w:val="000000"/>
                <w:sz w:val="20"/>
                <w:szCs w:val="20"/>
              </w:rPr>
            </w:pPr>
            <w:r w:rsidRPr="008821B5">
              <w:rPr>
                <w:rFonts w:ascii="Times New Roman" w:eastAsia="Calibri" w:hAnsi="Times New Roman" w:cs="Times New Roman"/>
                <w:color w:val="000000"/>
                <w:sz w:val="20"/>
                <w:szCs w:val="20"/>
              </w:rPr>
              <w:t>Canada</w:t>
            </w:r>
          </w:p>
        </w:tc>
        <w:tc>
          <w:tcPr>
            <w:tcW w:w="2700" w:type="dxa"/>
            <w:vAlign w:val="center"/>
          </w:tcPr>
          <w:p w:rsidR="008821B5" w:rsidRPr="008821B5" w:rsidRDefault="008821B5" w:rsidP="008821B5">
            <w:pPr>
              <w:rPr>
                <w:rFonts w:ascii="Times New Roman" w:eastAsia="Times New Roman" w:hAnsi="Times New Roman" w:cs="Times New Roman"/>
                <w:sz w:val="20"/>
                <w:szCs w:val="20"/>
                <w:lang w:eastAsia="en-CA"/>
              </w:rPr>
            </w:pPr>
            <w:r w:rsidRPr="008821B5">
              <w:rPr>
                <w:rFonts w:ascii="Times New Roman" w:eastAsia="Times New Roman" w:hAnsi="Times New Roman" w:cs="Times New Roman"/>
                <w:sz w:val="20"/>
                <w:szCs w:val="20"/>
                <w:lang w:eastAsia="en-CA"/>
              </w:rPr>
              <w:t>Unclear on why HBB is included here</w:t>
            </w:r>
          </w:p>
        </w:tc>
        <w:tc>
          <w:tcPr>
            <w:tcW w:w="5472" w:type="dxa"/>
          </w:tcPr>
          <w:p w:rsidR="008821B5" w:rsidRPr="008821B5" w:rsidRDefault="008821B5" w:rsidP="009E1CF9">
            <w:pPr>
              <w:rPr>
                <w:rFonts w:ascii="Times New Roman" w:eastAsia="Times New Roman" w:hAnsi="Times New Roman" w:cs="Times New Roman"/>
                <w:sz w:val="20"/>
                <w:szCs w:val="20"/>
                <w:lang w:eastAsia="zh-CN"/>
              </w:rPr>
            </w:pPr>
          </w:p>
          <w:p w:rsidR="008821B5" w:rsidRPr="008821B5" w:rsidRDefault="008821B5" w:rsidP="009E1CF9">
            <w:pPr>
              <w:rPr>
                <w:rFonts w:ascii="Times New Roman" w:eastAsia="Times New Roman" w:hAnsi="Times New Roman" w:cs="Times New Roman"/>
                <w:sz w:val="20"/>
                <w:szCs w:val="20"/>
                <w:lang w:eastAsia="zh-CN"/>
              </w:rPr>
            </w:pPr>
            <w:r w:rsidRPr="008821B5">
              <w:rPr>
                <w:rFonts w:ascii="Times New Roman" w:eastAsia="Times New Roman" w:hAnsi="Times New Roman" w:cs="Times New Roman"/>
                <w:sz w:val="20"/>
                <w:szCs w:val="20"/>
                <w:lang w:eastAsia="zh-CN"/>
              </w:rPr>
              <w:t>It is unclear why HBB is included in a document focused predominantly on BDEs.  Since the two substances are quite different, they may be better treated in separate documents.</w:t>
            </w:r>
          </w:p>
          <w:p w:rsidR="008821B5" w:rsidRPr="008821B5" w:rsidRDefault="008821B5" w:rsidP="009E1CF9">
            <w:pPr>
              <w:rPr>
                <w:rFonts w:ascii="Times New Roman" w:eastAsia="Times New Roman" w:hAnsi="Times New Roman" w:cs="Times New Roman"/>
                <w:sz w:val="20"/>
                <w:szCs w:val="20"/>
                <w:lang w:eastAsia="zh-CN"/>
              </w:rPr>
            </w:pPr>
          </w:p>
        </w:tc>
        <w:tc>
          <w:tcPr>
            <w:tcW w:w="3996" w:type="dxa"/>
            <w:vAlign w:val="center"/>
          </w:tcPr>
          <w:p w:rsidR="008821B5" w:rsidRDefault="006738A4" w:rsidP="0016341D">
            <w:pPr>
              <w:rPr>
                <w:rFonts w:ascii="Times New Roman" w:eastAsia="Times New Roman" w:hAnsi="Times New Roman" w:cs="Times New Roman"/>
                <w:sz w:val="20"/>
                <w:szCs w:val="20"/>
                <w:lang w:eastAsia="en-CA"/>
              </w:rPr>
            </w:pPr>
            <w:proofErr w:type="gramStart"/>
            <w:r>
              <w:rPr>
                <w:rFonts w:ascii="Times New Roman" w:eastAsia="Times New Roman" w:hAnsi="Times New Roman" w:cs="Times New Roman"/>
                <w:sz w:val="20"/>
                <w:szCs w:val="20"/>
                <w:lang w:eastAsia="en-CA"/>
              </w:rPr>
              <w:t>HBB  was</w:t>
            </w:r>
            <w:proofErr w:type="gramEnd"/>
            <w:r>
              <w:rPr>
                <w:rFonts w:ascii="Times New Roman" w:eastAsia="Times New Roman" w:hAnsi="Times New Roman" w:cs="Times New Roman"/>
                <w:sz w:val="20"/>
                <w:szCs w:val="20"/>
                <w:lang w:eastAsia="en-CA"/>
              </w:rPr>
              <w:t xml:space="preserve"> included to provide parties with a quick overview of HBB former uses and relevance for the inventory purpose, mainly because it was also used as</w:t>
            </w:r>
            <w:r w:rsidR="00A51E34">
              <w:rPr>
                <w:rFonts w:ascii="Times New Roman" w:eastAsia="Times New Roman" w:hAnsi="Times New Roman" w:cs="Times New Roman"/>
                <w:sz w:val="20"/>
                <w:szCs w:val="20"/>
                <w:lang w:eastAsia="en-CA"/>
              </w:rPr>
              <w:t xml:space="preserve"> flame retardant in </w:t>
            </w:r>
            <w:r w:rsidR="00DD0574">
              <w:rPr>
                <w:rFonts w:ascii="Times New Roman" w:eastAsia="Times New Roman" w:hAnsi="Times New Roman" w:cs="Times New Roman"/>
                <w:sz w:val="20"/>
                <w:szCs w:val="20"/>
                <w:lang w:eastAsia="en-CA"/>
              </w:rPr>
              <w:t xml:space="preserve">similar </w:t>
            </w:r>
            <w:r w:rsidR="00A51E34">
              <w:rPr>
                <w:rFonts w:ascii="Times New Roman" w:eastAsia="Times New Roman" w:hAnsi="Times New Roman" w:cs="Times New Roman"/>
                <w:sz w:val="20"/>
                <w:szCs w:val="20"/>
                <w:lang w:eastAsia="en-CA"/>
              </w:rPr>
              <w:t>articles</w:t>
            </w:r>
            <w:r w:rsidR="00DD0574">
              <w:rPr>
                <w:rFonts w:ascii="Times New Roman" w:eastAsia="Times New Roman" w:hAnsi="Times New Roman" w:cs="Times New Roman"/>
                <w:sz w:val="20"/>
                <w:szCs w:val="20"/>
                <w:lang w:eastAsia="en-CA"/>
              </w:rPr>
              <w:t>.</w:t>
            </w:r>
            <w:r w:rsidR="00A51E34">
              <w:rPr>
                <w:rFonts w:ascii="Times New Roman" w:eastAsia="Times New Roman" w:hAnsi="Times New Roman" w:cs="Times New Roman"/>
                <w:sz w:val="20"/>
                <w:szCs w:val="20"/>
                <w:lang w:eastAsia="en-CA"/>
              </w:rPr>
              <w:t xml:space="preserve"> </w:t>
            </w:r>
          </w:p>
          <w:p w:rsidR="00A51E34" w:rsidRDefault="00A51E34" w:rsidP="0016341D">
            <w:pPr>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 xml:space="preserve">The revised version still includes HBB text. </w:t>
            </w:r>
          </w:p>
          <w:p w:rsidR="0016341D" w:rsidRDefault="0016341D" w:rsidP="0016341D">
            <w:pPr>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 xml:space="preserve">Further </w:t>
            </w:r>
            <w:proofErr w:type="spellStart"/>
            <w:proofErr w:type="gramStart"/>
            <w:r>
              <w:rPr>
                <w:rFonts w:ascii="Times New Roman" w:eastAsia="Times New Roman" w:hAnsi="Times New Roman" w:cs="Times New Roman"/>
                <w:sz w:val="20"/>
                <w:szCs w:val="20"/>
                <w:lang w:eastAsia="en-CA"/>
              </w:rPr>
              <w:t>advise</w:t>
            </w:r>
            <w:proofErr w:type="spellEnd"/>
            <w:proofErr w:type="gramEnd"/>
            <w:r>
              <w:rPr>
                <w:rFonts w:ascii="Times New Roman" w:eastAsia="Times New Roman" w:hAnsi="Times New Roman" w:cs="Times New Roman"/>
                <w:sz w:val="20"/>
                <w:szCs w:val="20"/>
                <w:lang w:eastAsia="en-CA"/>
              </w:rPr>
              <w:t xml:space="preserve"> on how to proceed is needed. </w:t>
            </w:r>
          </w:p>
          <w:p w:rsidR="00A51E34" w:rsidRPr="008821B5" w:rsidRDefault="00A51E34" w:rsidP="0016341D">
            <w:pPr>
              <w:rPr>
                <w:rFonts w:ascii="Times New Roman" w:eastAsia="Times New Roman" w:hAnsi="Times New Roman" w:cs="Times New Roman"/>
                <w:sz w:val="20"/>
                <w:szCs w:val="20"/>
                <w:lang w:eastAsia="en-CA"/>
              </w:rPr>
            </w:pPr>
          </w:p>
        </w:tc>
      </w:tr>
      <w:tr w:rsidR="008821B5" w:rsidRPr="009037BE" w:rsidTr="000A60AA">
        <w:tc>
          <w:tcPr>
            <w:tcW w:w="1008" w:type="dxa"/>
            <w:vAlign w:val="center"/>
          </w:tcPr>
          <w:p w:rsidR="008821B5" w:rsidRPr="008821B5" w:rsidRDefault="008821B5" w:rsidP="009E1CF9">
            <w:pPr>
              <w:autoSpaceDE w:val="0"/>
              <w:autoSpaceDN w:val="0"/>
              <w:adjustRightInd w:val="0"/>
              <w:spacing w:before="120" w:after="120"/>
              <w:jc w:val="center"/>
              <w:rPr>
                <w:rFonts w:ascii="Times New Roman" w:eastAsia="Calibri" w:hAnsi="Times New Roman" w:cs="Times New Roman"/>
                <w:color w:val="000000"/>
                <w:sz w:val="20"/>
                <w:szCs w:val="20"/>
              </w:rPr>
            </w:pPr>
            <w:r w:rsidRPr="008821B5">
              <w:rPr>
                <w:rFonts w:ascii="Times New Roman" w:eastAsia="Calibri" w:hAnsi="Times New Roman" w:cs="Times New Roman"/>
                <w:color w:val="000000"/>
                <w:sz w:val="20"/>
                <w:szCs w:val="20"/>
              </w:rPr>
              <w:t>Canada</w:t>
            </w:r>
          </w:p>
        </w:tc>
        <w:tc>
          <w:tcPr>
            <w:tcW w:w="2700" w:type="dxa"/>
            <w:vAlign w:val="center"/>
          </w:tcPr>
          <w:p w:rsidR="008821B5" w:rsidRPr="008821B5" w:rsidRDefault="008821B5" w:rsidP="008821B5">
            <w:pPr>
              <w:rPr>
                <w:rFonts w:ascii="Times New Roman" w:eastAsia="Times New Roman" w:hAnsi="Times New Roman" w:cs="Times New Roman"/>
                <w:sz w:val="20"/>
                <w:szCs w:val="20"/>
                <w:lang w:eastAsia="en-CA"/>
              </w:rPr>
            </w:pPr>
            <w:r w:rsidRPr="008821B5">
              <w:rPr>
                <w:rFonts w:ascii="Times New Roman" w:eastAsia="Times New Roman" w:hAnsi="Times New Roman" w:cs="Times New Roman"/>
                <w:sz w:val="20"/>
                <w:szCs w:val="20"/>
                <w:lang w:eastAsia="en-CA"/>
              </w:rPr>
              <w:t>Ensure information is always properly referenced</w:t>
            </w:r>
          </w:p>
        </w:tc>
        <w:tc>
          <w:tcPr>
            <w:tcW w:w="5472" w:type="dxa"/>
          </w:tcPr>
          <w:p w:rsidR="008821B5" w:rsidRPr="008821B5" w:rsidRDefault="008821B5" w:rsidP="009E1CF9">
            <w:pPr>
              <w:rPr>
                <w:rFonts w:ascii="Times New Roman" w:eastAsia="Times New Roman" w:hAnsi="Times New Roman" w:cs="Times New Roman"/>
                <w:sz w:val="20"/>
                <w:szCs w:val="20"/>
                <w:lang w:eastAsia="en-CA"/>
              </w:rPr>
            </w:pPr>
          </w:p>
          <w:p w:rsidR="008821B5" w:rsidRPr="008821B5" w:rsidRDefault="008821B5" w:rsidP="009E1CF9">
            <w:pPr>
              <w:rPr>
                <w:rFonts w:ascii="Times New Roman" w:eastAsia="Times New Roman" w:hAnsi="Times New Roman" w:cs="Times New Roman"/>
                <w:sz w:val="20"/>
                <w:szCs w:val="20"/>
                <w:lang w:eastAsia="en-CA"/>
              </w:rPr>
            </w:pPr>
            <w:r w:rsidRPr="008821B5">
              <w:rPr>
                <w:rFonts w:ascii="Times New Roman" w:eastAsia="Times New Roman" w:hAnsi="Times New Roman" w:cs="Times New Roman"/>
                <w:sz w:val="20"/>
                <w:szCs w:val="20"/>
                <w:lang w:eastAsia="en-CA"/>
              </w:rPr>
              <w:t xml:space="preserve">There are several sections that lack references and/or do not use sufficient scientific studies to support the validity of the findings.  </w:t>
            </w:r>
          </w:p>
          <w:p w:rsidR="008821B5" w:rsidRPr="008821B5" w:rsidRDefault="008821B5" w:rsidP="009E1CF9">
            <w:pPr>
              <w:rPr>
                <w:rFonts w:ascii="Times New Roman" w:eastAsia="Times New Roman" w:hAnsi="Times New Roman" w:cs="Times New Roman"/>
                <w:sz w:val="20"/>
                <w:szCs w:val="20"/>
                <w:lang w:eastAsia="en-CA"/>
              </w:rPr>
            </w:pPr>
          </w:p>
        </w:tc>
        <w:tc>
          <w:tcPr>
            <w:tcW w:w="3996" w:type="dxa"/>
            <w:vAlign w:val="center"/>
          </w:tcPr>
          <w:p w:rsidR="008821B5" w:rsidRPr="008821B5" w:rsidRDefault="006738A4" w:rsidP="006738A4">
            <w:pPr>
              <w:rPr>
                <w:rFonts w:ascii="Times New Roman" w:eastAsia="Times New Roman" w:hAnsi="Times New Roman" w:cs="Times New Roman"/>
                <w:sz w:val="20"/>
                <w:szCs w:val="20"/>
                <w:lang w:eastAsia="en-CA"/>
              </w:rPr>
            </w:pPr>
            <w:r w:rsidRPr="000A6CD4">
              <w:rPr>
                <w:rFonts w:ascii="Times New Roman" w:eastAsia="Calibri" w:hAnsi="Times New Roman" w:cs="Times New Roman"/>
                <w:color w:val="000000"/>
                <w:sz w:val="20"/>
                <w:szCs w:val="20"/>
              </w:rPr>
              <w:t>The document has been produced and reviewed by various experts in the frame of a GEF medium-sized project. The Secretariat does not have information as to the sources of information used when initially developing the guidance. Substantive information needs to be made available to the Secretariat to address this comment.</w:t>
            </w:r>
          </w:p>
        </w:tc>
      </w:tr>
      <w:tr w:rsidR="008821B5" w:rsidRPr="009037BE" w:rsidTr="000A60AA">
        <w:tc>
          <w:tcPr>
            <w:tcW w:w="1008" w:type="dxa"/>
            <w:vAlign w:val="center"/>
          </w:tcPr>
          <w:p w:rsidR="008821B5" w:rsidRPr="008821B5" w:rsidRDefault="008821B5" w:rsidP="009E1CF9">
            <w:pPr>
              <w:autoSpaceDE w:val="0"/>
              <w:autoSpaceDN w:val="0"/>
              <w:adjustRightInd w:val="0"/>
              <w:spacing w:before="120" w:after="120"/>
              <w:jc w:val="center"/>
              <w:rPr>
                <w:rFonts w:ascii="Times New Roman" w:eastAsia="Calibri" w:hAnsi="Times New Roman" w:cs="Times New Roman"/>
                <w:color w:val="000000"/>
                <w:sz w:val="20"/>
                <w:szCs w:val="20"/>
              </w:rPr>
            </w:pPr>
            <w:r w:rsidRPr="008821B5">
              <w:rPr>
                <w:rFonts w:ascii="Times New Roman" w:eastAsia="Calibri" w:hAnsi="Times New Roman" w:cs="Times New Roman"/>
                <w:color w:val="000000"/>
                <w:sz w:val="20"/>
                <w:szCs w:val="20"/>
              </w:rPr>
              <w:t>Canada</w:t>
            </w:r>
          </w:p>
        </w:tc>
        <w:tc>
          <w:tcPr>
            <w:tcW w:w="2700" w:type="dxa"/>
            <w:vAlign w:val="center"/>
          </w:tcPr>
          <w:p w:rsidR="008821B5" w:rsidRPr="008821B5" w:rsidRDefault="008821B5" w:rsidP="008821B5">
            <w:pPr>
              <w:rPr>
                <w:rFonts w:ascii="Times New Roman" w:eastAsia="Times New Roman" w:hAnsi="Times New Roman" w:cs="Times New Roman"/>
                <w:sz w:val="20"/>
                <w:szCs w:val="20"/>
                <w:lang w:eastAsia="en-CA"/>
              </w:rPr>
            </w:pPr>
            <w:r w:rsidRPr="008821B5">
              <w:rPr>
                <w:rFonts w:ascii="Times New Roman" w:eastAsia="Times New Roman" w:hAnsi="Times New Roman" w:cs="Times New Roman"/>
                <w:sz w:val="20"/>
                <w:szCs w:val="20"/>
                <w:lang w:eastAsia="en-CA"/>
              </w:rPr>
              <w:t>Be careful not to imply convention obligations</w:t>
            </w:r>
          </w:p>
        </w:tc>
        <w:tc>
          <w:tcPr>
            <w:tcW w:w="5472" w:type="dxa"/>
          </w:tcPr>
          <w:p w:rsidR="008821B5" w:rsidRPr="00473B00" w:rsidRDefault="008821B5" w:rsidP="009E1CF9">
            <w:pPr>
              <w:rPr>
                <w:rFonts w:ascii="Times New Roman" w:eastAsia="Times New Roman" w:hAnsi="Times New Roman" w:cs="Times New Roman"/>
                <w:sz w:val="20"/>
                <w:szCs w:val="20"/>
                <w:lang w:eastAsia="en-CA"/>
              </w:rPr>
            </w:pPr>
          </w:p>
          <w:p w:rsidR="008821B5" w:rsidRPr="00473B00" w:rsidRDefault="008821B5" w:rsidP="009E1CF9">
            <w:pPr>
              <w:rPr>
                <w:rFonts w:ascii="Times New Roman" w:eastAsia="Times New Roman" w:hAnsi="Times New Roman" w:cs="Times New Roman"/>
                <w:sz w:val="20"/>
                <w:szCs w:val="20"/>
                <w:lang w:eastAsia="en-CA"/>
              </w:rPr>
            </w:pPr>
            <w:r w:rsidRPr="00473B00">
              <w:rPr>
                <w:rFonts w:ascii="Times New Roman" w:eastAsia="Times New Roman" w:hAnsi="Times New Roman" w:cs="Times New Roman"/>
                <w:sz w:val="20"/>
                <w:szCs w:val="20"/>
                <w:lang w:eastAsia="en-CA"/>
              </w:rPr>
              <w:t>Many sentences in this document are written in a manner that could imply the existence of Party obligations in areas where there are none.  The language used in these cases should be adjusted.</w:t>
            </w:r>
          </w:p>
          <w:p w:rsidR="008821B5" w:rsidRPr="00473B00" w:rsidRDefault="008821B5" w:rsidP="009E1CF9">
            <w:pPr>
              <w:rPr>
                <w:rFonts w:ascii="Times New Roman" w:eastAsia="Times New Roman" w:hAnsi="Times New Roman" w:cs="Times New Roman"/>
                <w:sz w:val="20"/>
                <w:szCs w:val="20"/>
                <w:lang w:eastAsia="en-CA"/>
              </w:rPr>
            </w:pPr>
          </w:p>
        </w:tc>
        <w:tc>
          <w:tcPr>
            <w:tcW w:w="3996" w:type="dxa"/>
            <w:vAlign w:val="center"/>
          </w:tcPr>
          <w:p w:rsidR="008821B5" w:rsidRPr="00473B00" w:rsidRDefault="00005DA8" w:rsidP="00005DA8">
            <w:pPr>
              <w:rPr>
                <w:rFonts w:ascii="Times New Roman" w:eastAsia="Times New Roman" w:hAnsi="Times New Roman" w:cs="Times New Roman"/>
                <w:sz w:val="20"/>
                <w:szCs w:val="20"/>
                <w:lang w:eastAsia="en-CA"/>
              </w:rPr>
            </w:pPr>
            <w:r w:rsidRPr="00473B00">
              <w:rPr>
                <w:rFonts w:ascii="Times New Roman" w:eastAsia="Calibri" w:hAnsi="Times New Roman" w:cs="Times New Roman"/>
                <w:color w:val="000000"/>
                <w:sz w:val="20"/>
                <w:szCs w:val="20"/>
              </w:rPr>
              <w:t xml:space="preserve">Addressed in those places signaled by the comments provided by Canada in the guidance document. </w:t>
            </w:r>
          </w:p>
        </w:tc>
      </w:tr>
      <w:tr w:rsidR="008821B5" w:rsidRPr="009037BE" w:rsidTr="009E1CF9">
        <w:tc>
          <w:tcPr>
            <w:tcW w:w="1008" w:type="dxa"/>
            <w:vAlign w:val="center"/>
          </w:tcPr>
          <w:p w:rsidR="008821B5" w:rsidRPr="008821B5" w:rsidRDefault="00F5636E" w:rsidP="009E1CF9">
            <w:pPr>
              <w:autoSpaceDE w:val="0"/>
              <w:autoSpaceDN w:val="0"/>
              <w:adjustRightInd w:val="0"/>
              <w:spacing w:before="120" w:after="120"/>
              <w:jc w:val="center"/>
              <w:rPr>
                <w:rFonts w:ascii="Times New Roman" w:eastAsia="Calibri" w:hAnsi="Times New Roman" w:cs="Times New Roman"/>
                <w:color w:val="000000"/>
                <w:sz w:val="20"/>
                <w:szCs w:val="20"/>
                <w:highlight w:val="green"/>
              </w:rPr>
            </w:pPr>
            <w:r w:rsidRPr="00F5636E">
              <w:rPr>
                <w:rFonts w:ascii="Times New Roman" w:eastAsia="Calibri" w:hAnsi="Times New Roman" w:cs="Times New Roman"/>
                <w:color w:val="000000"/>
                <w:sz w:val="20"/>
                <w:szCs w:val="20"/>
              </w:rPr>
              <w:t>Mexico</w:t>
            </w:r>
          </w:p>
        </w:tc>
        <w:tc>
          <w:tcPr>
            <w:tcW w:w="2700" w:type="dxa"/>
            <w:vAlign w:val="center"/>
          </w:tcPr>
          <w:p w:rsidR="008821B5" w:rsidRPr="008821B5" w:rsidRDefault="008821B5" w:rsidP="009E1CF9">
            <w:pPr>
              <w:rPr>
                <w:rFonts w:ascii="Times New Roman" w:eastAsia="Calibri" w:hAnsi="Times New Roman" w:cs="Times New Roman"/>
                <w:color w:val="000000"/>
                <w:sz w:val="20"/>
                <w:szCs w:val="20"/>
                <w:highlight w:val="green"/>
              </w:rPr>
            </w:pPr>
          </w:p>
        </w:tc>
        <w:tc>
          <w:tcPr>
            <w:tcW w:w="5472" w:type="dxa"/>
          </w:tcPr>
          <w:p w:rsidR="008821B5" w:rsidRPr="001E74BC" w:rsidRDefault="00F5636E" w:rsidP="001E74BC">
            <w:pPr>
              <w:autoSpaceDE w:val="0"/>
              <w:autoSpaceDN w:val="0"/>
              <w:adjustRightInd w:val="0"/>
              <w:spacing w:before="120" w:after="120"/>
              <w:rPr>
                <w:rFonts w:ascii="Times New Roman" w:eastAsia="Calibri" w:hAnsi="Times New Roman" w:cs="Times New Roman"/>
                <w:color w:val="000000"/>
                <w:sz w:val="20"/>
                <w:szCs w:val="20"/>
              </w:rPr>
            </w:pPr>
            <w:r w:rsidRPr="001E74BC">
              <w:rPr>
                <w:rFonts w:ascii="Times New Roman" w:eastAsia="Calibri" w:hAnsi="Times New Roman" w:cs="Times New Roman"/>
                <w:color w:val="000000"/>
                <w:sz w:val="20"/>
                <w:szCs w:val="20"/>
              </w:rPr>
              <w:t xml:space="preserve">We consider that the guidance to develop, update and review NIPs will be of great </w:t>
            </w:r>
            <w:proofErr w:type="gramStart"/>
            <w:r w:rsidRPr="001E74BC">
              <w:rPr>
                <w:rFonts w:ascii="Times New Roman" w:eastAsia="Calibri" w:hAnsi="Times New Roman" w:cs="Times New Roman"/>
                <w:color w:val="000000"/>
                <w:sz w:val="20"/>
                <w:szCs w:val="20"/>
              </w:rPr>
              <w:t>help,</w:t>
            </w:r>
            <w:proofErr w:type="gramEnd"/>
            <w:r w:rsidRPr="001E74BC">
              <w:rPr>
                <w:rFonts w:ascii="Times New Roman" w:eastAsia="Calibri" w:hAnsi="Times New Roman" w:cs="Times New Roman"/>
                <w:color w:val="000000"/>
                <w:sz w:val="20"/>
                <w:szCs w:val="20"/>
              </w:rPr>
              <w:t xml:space="preserve"> however, we believe that a successful implementation of the NIP and its action plans is complex. It depends on the institutional capacity, high political support and stakeholders</w:t>
            </w:r>
            <w:r w:rsidR="001E74BC">
              <w:rPr>
                <w:rFonts w:ascii="Times New Roman" w:eastAsia="Calibri" w:hAnsi="Times New Roman" w:cs="Times New Roman"/>
                <w:color w:val="000000"/>
                <w:sz w:val="20"/>
                <w:szCs w:val="20"/>
              </w:rPr>
              <w:t>’</w:t>
            </w:r>
            <w:r w:rsidRPr="001E74BC">
              <w:rPr>
                <w:rFonts w:ascii="Times New Roman" w:eastAsia="Calibri" w:hAnsi="Times New Roman" w:cs="Times New Roman"/>
                <w:color w:val="000000"/>
                <w:sz w:val="20"/>
                <w:szCs w:val="20"/>
              </w:rPr>
              <w:t xml:space="preserve"> commitment and also it depends on assigning the adequate resources. </w:t>
            </w:r>
            <w:r w:rsidRPr="001E74BC">
              <w:rPr>
                <w:rStyle w:val="FootnoteReference"/>
                <w:rFonts w:ascii="Times New Roman" w:eastAsia="Calibri" w:hAnsi="Times New Roman" w:cs="Times New Roman"/>
                <w:color w:val="000000"/>
                <w:sz w:val="20"/>
                <w:szCs w:val="20"/>
              </w:rPr>
              <w:footnoteReference w:id="2"/>
            </w:r>
          </w:p>
        </w:tc>
        <w:tc>
          <w:tcPr>
            <w:tcW w:w="3996" w:type="dxa"/>
          </w:tcPr>
          <w:p w:rsidR="008821B5" w:rsidRPr="008821B5" w:rsidRDefault="008821B5" w:rsidP="009E1CF9">
            <w:pPr>
              <w:autoSpaceDE w:val="0"/>
              <w:autoSpaceDN w:val="0"/>
              <w:adjustRightInd w:val="0"/>
              <w:spacing w:before="120" w:after="120"/>
              <w:rPr>
                <w:rFonts w:ascii="Times New Roman" w:eastAsia="Calibri" w:hAnsi="Times New Roman" w:cs="Times New Roman"/>
                <w:color w:val="000000"/>
                <w:sz w:val="20"/>
                <w:szCs w:val="20"/>
                <w:highlight w:val="green"/>
              </w:rPr>
            </w:pPr>
          </w:p>
        </w:tc>
      </w:tr>
      <w:tr w:rsidR="008821B5" w:rsidRPr="009037BE" w:rsidTr="009E1CF9">
        <w:tc>
          <w:tcPr>
            <w:tcW w:w="1008" w:type="dxa"/>
            <w:vAlign w:val="center"/>
          </w:tcPr>
          <w:p w:rsidR="008821B5" w:rsidRPr="008821B5" w:rsidRDefault="008821B5" w:rsidP="009E1CF9">
            <w:pPr>
              <w:autoSpaceDE w:val="0"/>
              <w:autoSpaceDN w:val="0"/>
              <w:adjustRightInd w:val="0"/>
              <w:spacing w:before="120" w:after="120"/>
              <w:jc w:val="center"/>
              <w:rPr>
                <w:rFonts w:ascii="Times New Roman" w:eastAsia="Calibri" w:hAnsi="Times New Roman" w:cs="Times New Roman"/>
                <w:color w:val="000000"/>
                <w:sz w:val="20"/>
                <w:szCs w:val="20"/>
                <w:highlight w:val="green"/>
              </w:rPr>
            </w:pPr>
          </w:p>
        </w:tc>
        <w:tc>
          <w:tcPr>
            <w:tcW w:w="2700" w:type="dxa"/>
            <w:vAlign w:val="center"/>
          </w:tcPr>
          <w:p w:rsidR="008821B5" w:rsidRPr="008821B5" w:rsidRDefault="008821B5" w:rsidP="009E1CF9">
            <w:pPr>
              <w:rPr>
                <w:rFonts w:ascii="Times New Roman" w:eastAsia="Calibri" w:hAnsi="Times New Roman" w:cs="Times New Roman"/>
                <w:color w:val="000000"/>
                <w:sz w:val="20"/>
                <w:szCs w:val="20"/>
                <w:highlight w:val="green"/>
              </w:rPr>
            </w:pPr>
          </w:p>
        </w:tc>
        <w:tc>
          <w:tcPr>
            <w:tcW w:w="5472" w:type="dxa"/>
          </w:tcPr>
          <w:p w:rsidR="008821B5" w:rsidRPr="008821B5" w:rsidRDefault="008821B5" w:rsidP="009E1CF9">
            <w:pPr>
              <w:rPr>
                <w:rFonts w:ascii="Times New Roman" w:eastAsia="Calibri" w:hAnsi="Times New Roman" w:cs="Times New Roman"/>
                <w:color w:val="000000"/>
                <w:sz w:val="20"/>
                <w:szCs w:val="20"/>
                <w:highlight w:val="green"/>
              </w:rPr>
            </w:pPr>
          </w:p>
        </w:tc>
        <w:tc>
          <w:tcPr>
            <w:tcW w:w="3996" w:type="dxa"/>
          </w:tcPr>
          <w:p w:rsidR="008821B5" w:rsidRPr="008821B5" w:rsidRDefault="008821B5" w:rsidP="009E1CF9">
            <w:pPr>
              <w:autoSpaceDE w:val="0"/>
              <w:autoSpaceDN w:val="0"/>
              <w:adjustRightInd w:val="0"/>
              <w:spacing w:before="120" w:after="120"/>
              <w:rPr>
                <w:rFonts w:ascii="Times New Roman" w:eastAsia="Calibri" w:hAnsi="Times New Roman" w:cs="Times New Roman"/>
                <w:color w:val="000000"/>
                <w:sz w:val="20"/>
                <w:szCs w:val="20"/>
                <w:highlight w:val="green"/>
              </w:rPr>
            </w:pPr>
          </w:p>
        </w:tc>
      </w:tr>
      <w:tr w:rsidR="008821B5" w:rsidRPr="009037BE" w:rsidTr="009E1CF9">
        <w:tc>
          <w:tcPr>
            <w:tcW w:w="1008" w:type="dxa"/>
            <w:vAlign w:val="center"/>
          </w:tcPr>
          <w:p w:rsidR="008821B5" w:rsidRPr="008A7601" w:rsidRDefault="008821B5" w:rsidP="009E1CF9">
            <w:pPr>
              <w:autoSpaceDE w:val="0"/>
              <w:autoSpaceDN w:val="0"/>
              <w:adjustRightInd w:val="0"/>
              <w:spacing w:before="120" w:after="120"/>
              <w:jc w:val="center"/>
              <w:rPr>
                <w:rFonts w:ascii="Times New Roman" w:eastAsia="Calibri" w:hAnsi="Times New Roman" w:cs="Times New Roman"/>
                <w:color w:val="000000"/>
                <w:sz w:val="20"/>
                <w:szCs w:val="20"/>
              </w:rPr>
            </w:pPr>
            <w:r w:rsidRPr="008A7601">
              <w:rPr>
                <w:rFonts w:ascii="Times New Roman" w:eastAsia="Calibri" w:hAnsi="Times New Roman" w:cs="Times New Roman"/>
                <w:color w:val="000000"/>
                <w:sz w:val="20"/>
                <w:szCs w:val="20"/>
              </w:rPr>
              <w:t>Monaco</w:t>
            </w:r>
          </w:p>
        </w:tc>
        <w:tc>
          <w:tcPr>
            <w:tcW w:w="2700" w:type="dxa"/>
          </w:tcPr>
          <w:p w:rsidR="008821B5" w:rsidRPr="008A7601" w:rsidRDefault="008821B5" w:rsidP="009E1CF9">
            <w:pPr>
              <w:autoSpaceDE w:val="0"/>
              <w:autoSpaceDN w:val="0"/>
              <w:adjustRightInd w:val="0"/>
              <w:spacing w:before="120" w:after="120"/>
              <w:rPr>
                <w:rFonts w:ascii="Times New Roman" w:eastAsia="Calibri" w:hAnsi="Times New Roman" w:cs="Times New Roman"/>
                <w:color w:val="000000"/>
                <w:sz w:val="20"/>
                <w:szCs w:val="20"/>
              </w:rPr>
            </w:pPr>
          </w:p>
        </w:tc>
        <w:tc>
          <w:tcPr>
            <w:tcW w:w="5472" w:type="dxa"/>
          </w:tcPr>
          <w:p w:rsidR="008821B5" w:rsidRPr="008A7601" w:rsidRDefault="006C7064" w:rsidP="006C7064">
            <w:pPr>
              <w:autoSpaceDE w:val="0"/>
              <w:autoSpaceDN w:val="0"/>
              <w:adjustRightInd w:val="0"/>
              <w:spacing w:before="120" w:after="120"/>
              <w:rPr>
                <w:rFonts w:ascii="Times New Roman" w:eastAsia="Calibri" w:hAnsi="Times New Roman" w:cs="Times New Roman"/>
                <w:color w:val="000000"/>
                <w:sz w:val="20"/>
                <w:szCs w:val="20"/>
              </w:rPr>
            </w:pPr>
            <w:r w:rsidRPr="008A7601">
              <w:rPr>
                <w:rFonts w:ascii="Times New Roman" w:eastAsia="Calibri" w:hAnsi="Times New Roman" w:cs="Times New Roman"/>
                <w:color w:val="000000"/>
                <w:sz w:val="20"/>
                <w:szCs w:val="20"/>
              </w:rPr>
              <w:t>We don't have any comments on the draft guidance on</w:t>
            </w:r>
            <w:r>
              <w:rPr>
                <w:rFonts w:ascii="Times New Roman" w:eastAsia="Calibri" w:hAnsi="Times New Roman" w:cs="Times New Roman"/>
                <w:color w:val="000000"/>
                <w:sz w:val="20"/>
                <w:szCs w:val="20"/>
              </w:rPr>
              <w:t xml:space="preserve"> inventories of </w:t>
            </w:r>
            <w:r w:rsidRPr="008A7601">
              <w:rPr>
                <w:rFonts w:ascii="Times New Roman" w:eastAsia="Calibri" w:hAnsi="Times New Roman" w:cs="Times New Roman"/>
                <w:color w:val="000000"/>
                <w:sz w:val="20"/>
                <w:szCs w:val="20"/>
              </w:rPr>
              <w:t xml:space="preserve"> </w:t>
            </w:r>
            <w:proofErr w:type="spellStart"/>
            <w:r>
              <w:rPr>
                <w:rFonts w:ascii="Times New Roman" w:eastAsia="Calibri" w:hAnsi="Times New Roman" w:cs="Times New Roman"/>
                <w:color w:val="000000"/>
                <w:sz w:val="20"/>
                <w:szCs w:val="20"/>
              </w:rPr>
              <w:t>polybrominated</w:t>
            </w:r>
            <w:proofErr w:type="spellEnd"/>
            <w:r>
              <w:rPr>
                <w:rFonts w:ascii="Times New Roman" w:eastAsia="Calibri" w:hAnsi="Times New Roman" w:cs="Times New Roman"/>
                <w:color w:val="000000"/>
                <w:sz w:val="20"/>
                <w:szCs w:val="20"/>
              </w:rPr>
              <w:t xml:space="preserve"> </w:t>
            </w:r>
            <w:proofErr w:type="spellStart"/>
            <w:r>
              <w:rPr>
                <w:rFonts w:ascii="Times New Roman" w:eastAsia="Calibri" w:hAnsi="Times New Roman" w:cs="Times New Roman"/>
                <w:color w:val="000000"/>
                <w:sz w:val="20"/>
                <w:szCs w:val="20"/>
              </w:rPr>
              <w:t>diphenyl</w:t>
            </w:r>
            <w:proofErr w:type="spellEnd"/>
            <w:r>
              <w:rPr>
                <w:rFonts w:ascii="Times New Roman" w:eastAsia="Calibri" w:hAnsi="Times New Roman" w:cs="Times New Roman"/>
                <w:color w:val="000000"/>
                <w:sz w:val="20"/>
                <w:szCs w:val="20"/>
              </w:rPr>
              <w:t xml:space="preserve"> ethers listed under the Stockholm Convention</w:t>
            </w:r>
          </w:p>
        </w:tc>
        <w:tc>
          <w:tcPr>
            <w:tcW w:w="3996" w:type="dxa"/>
          </w:tcPr>
          <w:p w:rsidR="008821B5" w:rsidRPr="008A7601" w:rsidRDefault="008821B5" w:rsidP="009E1CF9">
            <w:pPr>
              <w:autoSpaceDE w:val="0"/>
              <w:autoSpaceDN w:val="0"/>
              <w:adjustRightInd w:val="0"/>
              <w:spacing w:before="120" w:after="120"/>
              <w:rPr>
                <w:rFonts w:ascii="Times New Roman" w:eastAsia="Calibri" w:hAnsi="Times New Roman" w:cs="Times New Roman"/>
                <w:color w:val="000000"/>
                <w:sz w:val="20"/>
                <w:szCs w:val="20"/>
              </w:rPr>
            </w:pPr>
          </w:p>
        </w:tc>
      </w:tr>
      <w:tr w:rsidR="008821B5" w:rsidRPr="009037BE" w:rsidTr="009E1CF9">
        <w:tc>
          <w:tcPr>
            <w:tcW w:w="1008" w:type="dxa"/>
            <w:vAlign w:val="center"/>
          </w:tcPr>
          <w:p w:rsidR="008821B5" w:rsidRPr="00CA4448" w:rsidRDefault="008821B5" w:rsidP="009E1CF9">
            <w:pPr>
              <w:autoSpaceDE w:val="0"/>
              <w:autoSpaceDN w:val="0"/>
              <w:adjustRightInd w:val="0"/>
              <w:spacing w:before="120" w:after="120"/>
              <w:jc w:val="center"/>
              <w:rPr>
                <w:rFonts w:ascii="Times New Roman" w:eastAsia="Calibri" w:hAnsi="Times New Roman" w:cs="Times New Roman"/>
                <w:color w:val="000000"/>
                <w:sz w:val="20"/>
                <w:szCs w:val="20"/>
                <w:highlight w:val="yellow"/>
              </w:rPr>
            </w:pPr>
            <w:r w:rsidRPr="008A7601">
              <w:rPr>
                <w:rFonts w:ascii="Times New Roman" w:eastAsia="Calibri" w:hAnsi="Times New Roman" w:cs="Times New Roman"/>
                <w:color w:val="000000"/>
                <w:sz w:val="20"/>
                <w:szCs w:val="20"/>
              </w:rPr>
              <w:t>UK</w:t>
            </w:r>
          </w:p>
        </w:tc>
        <w:tc>
          <w:tcPr>
            <w:tcW w:w="2700" w:type="dxa"/>
          </w:tcPr>
          <w:p w:rsidR="008821B5" w:rsidRPr="00C21C63" w:rsidRDefault="008821B5" w:rsidP="009E1CF9">
            <w:pPr>
              <w:autoSpaceDE w:val="0"/>
              <w:autoSpaceDN w:val="0"/>
              <w:adjustRightInd w:val="0"/>
              <w:spacing w:before="120" w:after="120"/>
              <w:rPr>
                <w:rFonts w:ascii="Times New Roman" w:eastAsia="Calibri" w:hAnsi="Times New Roman" w:cs="Times New Roman"/>
                <w:color w:val="000000"/>
                <w:sz w:val="20"/>
                <w:szCs w:val="20"/>
              </w:rPr>
            </w:pPr>
          </w:p>
        </w:tc>
        <w:tc>
          <w:tcPr>
            <w:tcW w:w="5472" w:type="dxa"/>
          </w:tcPr>
          <w:p w:rsidR="008821B5" w:rsidRPr="00C21C63" w:rsidRDefault="008821B5" w:rsidP="009E1CF9">
            <w:pPr>
              <w:rPr>
                <w:rFonts w:ascii="Times New Roman" w:hAnsi="Times New Roman" w:cs="Times New Roman"/>
                <w:sz w:val="20"/>
                <w:szCs w:val="20"/>
              </w:rPr>
            </w:pPr>
            <w:r w:rsidRPr="00C21C63">
              <w:rPr>
                <w:rFonts w:ascii="Times New Roman" w:hAnsi="Times New Roman" w:cs="Times New Roman"/>
                <w:sz w:val="20"/>
                <w:szCs w:val="20"/>
                <w:lang w:val="en-CA"/>
              </w:rPr>
              <w:t xml:space="preserve">With reference to the third (3) </w:t>
            </w:r>
            <w:proofErr w:type="gramStart"/>
            <w:r w:rsidRPr="00C21C63">
              <w:rPr>
                <w:rFonts w:ascii="Times New Roman" w:hAnsi="Times New Roman" w:cs="Times New Roman"/>
                <w:sz w:val="20"/>
                <w:szCs w:val="20"/>
                <w:lang w:val="en-CA"/>
              </w:rPr>
              <w:t>request</w:t>
            </w:r>
            <w:proofErr w:type="gramEnd"/>
            <w:r w:rsidRPr="00C21C63">
              <w:rPr>
                <w:rFonts w:ascii="Times New Roman" w:hAnsi="Times New Roman" w:cs="Times New Roman"/>
                <w:sz w:val="20"/>
                <w:szCs w:val="20"/>
                <w:lang w:val="en-CA"/>
              </w:rPr>
              <w:t xml:space="preserve"> for comments on the revised/updated and additional guidance on implementation plans, I regret that we have been unable to consult widely and can only offer our comments in respect of our experience of having recently prepared the UK’s second National Implementation Plan. In this respect the documents provide the appropriate level of detail to guide the administrative, resource and technical needs which need to be considered to set up the structures necessary for effective implementation of the requirements of the Stockholm Convention. Both the strategic governance and practical implementation needs are well covered. The importance of stakeholder engagement is usefully stressed, as is the need for appropriate application of project management tools. It is clear that advanced as well as developing economies can benefit from the content which provides useful reference material at the heart of which is the importance of considering local circumstances/resources when developing and implementing compliance requirements.</w:t>
            </w:r>
          </w:p>
        </w:tc>
        <w:tc>
          <w:tcPr>
            <w:tcW w:w="3996" w:type="dxa"/>
          </w:tcPr>
          <w:p w:rsidR="008821B5" w:rsidRPr="00CA4448" w:rsidRDefault="008821B5" w:rsidP="009E1CF9">
            <w:pPr>
              <w:autoSpaceDE w:val="0"/>
              <w:autoSpaceDN w:val="0"/>
              <w:adjustRightInd w:val="0"/>
              <w:spacing w:before="120" w:after="120"/>
              <w:rPr>
                <w:rFonts w:ascii="Times New Roman" w:eastAsia="Calibri" w:hAnsi="Times New Roman" w:cs="Times New Roman"/>
                <w:color w:val="000000"/>
                <w:sz w:val="20"/>
                <w:szCs w:val="20"/>
                <w:highlight w:val="yellow"/>
              </w:rPr>
            </w:pPr>
          </w:p>
        </w:tc>
      </w:tr>
    </w:tbl>
    <w:p w:rsidR="008821B5" w:rsidRDefault="008821B5" w:rsidP="00265F9C">
      <w:pPr>
        <w:spacing w:after="0" w:line="240" w:lineRule="auto"/>
        <w:rPr>
          <w:rFonts w:ascii="Arial" w:eastAsia="Times New Roman" w:hAnsi="Arial" w:cs="Times New Roman"/>
          <w:sz w:val="24"/>
          <w:szCs w:val="24"/>
          <w:lang w:eastAsia="en-CA"/>
        </w:rPr>
      </w:pPr>
    </w:p>
    <w:p w:rsidR="008821B5" w:rsidRDefault="008821B5" w:rsidP="00265F9C">
      <w:pPr>
        <w:spacing w:after="0" w:line="240" w:lineRule="auto"/>
        <w:rPr>
          <w:rFonts w:ascii="Arial" w:eastAsia="Times New Roman" w:hAnsi="Arial" w:cs="Times New Roman"/>
          <w:sz w:val="24"/>
          <w:szCs w:val="24"/>
          <w:lang w:eastAsia="en-CA"/>
        </w:rPr>
      </w:pPr>
    </w:p>
    <w:p w:rsidR="008821B5" w:rsidRDefault="008821B5" w:rsidP="00265F9C">
      <w:pPr>
        <w:spacing w:after="0" w:line="240" w:lineRule="auto"/>
        <w:rPr>
          <w:rFonts w:ascii="Arial" w:eastAsia="Times New Roman" w:hAnsi="Arial" w:cs="Times New Roman"/>
          <w:sz w:val="24"/>
          <w:szCs w:val="24"/>
          <w:lang w:eastAsia="en-CA"/>
        </w:rPr>
      </w:pPr>
    </w:p>
    <w:p w:rsidR="008821B5" w:rsidRDefault="008821B5" w:rsidP="00265F9C">
      <w:pPr>
        <w:spacing w:after="0" w:line="240" w:lineRule="auto"/>
        <w:rPr>
          <w:rFonts w:ascii="Arial" w:eastAsia="Times New Roman" w:hAnsi="Arial" w:cs="Times New Roman"/>
          <w:sz w:val="24"/>
          <w:szCs w:val="24"/>
          <w:lang w:eastAsia="en-CA"/>
        </w:rPr>
      </w:pPr>
    </w:p>
    <w:sectPr w:rsidR="008821B5" w:rsidSect="00E35F52">
      <w:pgSz w:w="15840" w:h="12240"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D48" w:rsidRDefault="00660D48" w:rsidP="008821B5">
      <w:pPr>
        <w:spacing w:after="0" w:line="240" w:lineRule="auto"/>
      </w:pPr>
      <w:r>
        <w:separator/>
      </w:r>
    </w:p>
  </w:endnote>
  <w:endnote w:type="continuationSeparator" w:id="0">
    <w:p w:rsidR="00660D48" w:rsidRDefault="00660D48" w:rsidP="00882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D48" w:rsidRDefault="00660D48" w:rsidP="008821B5">
      <w:pPr>
        <w:spacing w:after="0" w:line="240" w:lineRule="auto"/>
      </w:pPr>
      <w:r>
        <w:separator/>
      </w:r>
    </w:p>
  </w:footnote>
  <w:footnote w:type="continuationSeparator" w:id="0">
    <w:p w:rsidR="00660D48" w:rsidRDefault="00660D48" w:rsidP="008821B5">
      <w:pPr>
        <w:spacing w:after="0" w:line="240" w:lineRule="auto"/>
      </w:pPr>
      <w:r>
        <w:continuationSeparator/>
      </w:r>
    </w:p>
  </w:footnote>
  <w:footnote w:id="1">
    <w:p w:rsidR="008821B5" w:rsidRPr="002D2C70" w:rsidRDefault="008821B5" w:rsidP="008821B5">
      <w:pPr>
        <w:pStyle w:val="FootnoteText"/>
        <w:rPr>
          <w:rFonts w:ascii="Times New Roman" w:hAnsi="Times New Roman" w:cs="Times New Roman"/>
        </w:rPr>
      </w:pPr>
      <w:r w:rsidRPr="00766DB2">
        <w:rPr>
          <w:rStyle w:val="FootnoteReference"/>
          <w:rFonts w:ascii="Times New Roman" w:hAnsi="Times New Roman" w:cs="Times New Roman"/>
        </w:rPr>
        <w:footnoteRef/>
      </w:r>
      <w:r w:rsidRPr="00766DB2">
        <w:rPr>
          <w:rFonts w:ascii="Times New Roman" w:hAnsi="Times New Roman" w:cs="Times New Roman"/>
        </w:rPr>
        <w:t xml:space="preserve"> Decision SC-6/12 requests the Secretariat, subject to availability of resources, to integrate parties’ comments into the draft guidance and to forward the waste-related content of the draft guidance to the appropriate bodies </w:t>
      </w:r>
      <w:r>
        <w:rPr>
          <w:rFonts w:ascii="Times New Roman" w:hAnsi="Times New Roman" w:cs="Times New Roman"/>
        </w:rPr>
        <w:t>of the Basel Convention.</w:t>
      </w:r>
    </w:p>
  </w:footnote>
  <w:footnote w:id="2">
    <w:p w:rsidR="00F5636E" w:rsidRPr="00F5636E" w:rsidRDefault="00F5636E">
      <w:pPr>
        <w:pStyle w:val="FootnoteText"/>
        <w:rPr>
          <w:lang w:val="en-GB"/>
        </w:rPr>
      </w:pPr>
      <w:r>
        <w:rPr>
          <w:rStyle w:val="FootnoteReference"/>
        </w:rPr>
        <w:footnoteRef/>
      </w:r>
      <w:r>
        <w:t xml:space="preserve"> The paragraph was t</w:t>
      </w:r>
      <w:proofErr w:type="spellStart"/>
      <w:r w:rsidRPr="00F5636E">
        <w:rPr>
          <w:lang w:val="en-GB"/>
        </w:rPr>
        <w:t>ranslated</w:t>
      </w:r>
      <w:proofErr w:type="spellEnd"/>
      <w:r w:rsidRPr="00F5636E">
        <w:rPr>
          <w:lang w:val="en-GB"/>
        </w:rPr>
        <w:t xml:space="preserve"> by the Secretariat, no of</w:t>
      </w:r>
      <w:r w:rsidR="00EF4C35">
        <w:rPr>
          <w:lang w:val="en-GB"/>
        </w:rPr>
        <w:t>f</w:t>
      </w:r>
      <w:r w:rsidRPr="00F5636E">
        <w:rPr>
          <w:lang w:val="en-GB"/>
        </w:rPr>
        <w:t xml:space="preserve">icial translation was made.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C7276"/>
    <w:multiLevelType w:val="hybridMultilevel"/>
    <w:tmpl w:val="B9ACB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AF1CF2"/>
    <w:multiLevelType w:val="hybridMultilevel"/>
    <w:tmpl w:val="48A69B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1D071EE"/>
    <w:multiLevelType w:val="hybridMultilevel"/>
    <w:tmpl w:val="ED3248FE"/>
    <w:lvl w:ilvl="0" w:tplc="956A8C8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A699E"/>
    <w:multiLevelType w:val="hybridMultilevel"/>
    <w:tmpl w:val="6428E3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76A2729"/>
    <w:multiLevelType w:val="hybridMultilevel"/>
    <w:tmpl w:val="32D80D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265F9C"/>
    <w:rsid w:val="00005DA8"/>
    <w:rsid w:val="00011970"/>
    <w:rsid w:val="00086306"/>
    <w:rsid w:val="000D7BB2"/>
    <w:rsid w:val="0016341D"/>
    <w:rsid w:val="00175353"/>
    <w:rsid w:val="001968C1"/>
    <w:rsid w:val="001E74BC"/>
    <w:rsid w:val="00265F9C"/>
    <w:rsid w:val="002A33E7"/>
    <w:rsid w:val="00330310"/>
    <w:rsid w:val="00424612"/>
    <w:rsid w:val="00473B00"/>
    <w:rsid w:val="004C6804"/>
    <w:rsid w:val="005D446A"/>
    <w:rsid w:val="0064037E"/>
    <w:rsid w:val="00660D48"/>
    <w:rsid w:val="00662770"/>
    <w:rsid w:val="006738A4"/>
    <w:rsid w:val="006C7064"/>
    <w:rsid w:val="00701E32"/>
    <w:rsid w:val="007443A7"/>
    <w:rsid w:val="00826D23"/>
    <w:rsid w:val="008821B5"/>
    <w:rsid w:val="008B4D37"/>
    <w:rsid w:val="00A51E34"/>
    <w:rsid w:val="00A93B31"/>
    <w:rsid w:val="00AD5334"/>
    <w:rsid w:val="00B1519B"/>
    <w:rsid w:val="00D2043E"/>
    <w:rsid w:val="00DD0574"/>
    <w:rsid w:val="00E14A29"/>
    <w:rsid w:val="00EA292C"/>
    <w:rsid w:val="00EF2DB5"/>
    <w:rsid w:val="00EF4C35"/>
    <w:rsid w:val="00F11CDE"/>
    <w:rsid w:val="00F5636E"/>
    <w:rsid w:val="00F97F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65F9C"/>
    <w:pPr>
      <w:spacing w:line="240" w:lineRule="auto"/>
    </w:pPr>
    <w:rPr>
      <w:sz w:val="20"/>
      <w:szCs w:val="20"/>
    </w:rPr>
  </w:style>
  <w:style w:type="character" w:customStyle="1" w:styleId="CommentTextChar">
    <w:name w:val="Comment Text Char"/>
    <w:basedOn w:val="DefaultParagraphFont"/>
    <w:link w:val="CommentText"/>
    <w:uiPriority w:val="99"/>
    <w:semiHidden/>
    <w:rsid w:val="00265F9C"/>
    <w:rPr>
      <w:sz w:val="20"/>
      <w:szCs w:val="20"/>
    </w:rPr>
  </w:style>
  <w:style w:type="character" w:styleId="CommentReference">
    <w:name w:val="annotation reference"/>
    <w:basedOn w:val="DefaultParagraphFont"/>
    <w:uiPriority w:val="99"/>
    <w:semiHidden/>
    <w:unhideWhenUsed/>
    <w:rsid w:val="00265F9C"/>
    <w:rPr>
      <w:sz w:val="16"/>
      <w:szCs w:val="16"/>
    </w:rPr>
  </w:style>
  <w:style w:type="paragraph" w:styleId="BalloonText">
    <w:name w:val="Balloon Text"/>
    <w:basedOn w:val="Normal"/>
    <w:link w:val="BalloonTextChar"/>
    <w:uiPriority w:val="99"/>
    <w:semiHidden/>
    <w:unhideWhenUsed/>
    <w:rsid w:val="00265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F9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D7BB2"/>
    <w:rPr>
      <w:b/>
      <w:bCs/>
    </w:rPr>
  </w:style>
  <w:style w:type="character" w:customStyle="1" w:styleId="CommentSubjectChar">
    <w:name w:val="Comment Subject Char"/>
    <w:basedOn w:val="CommentTextChar"/>
    <w:link w:val="CommentSubject"/>
    <w:uiPriority w:val="99"/>
    <w:semiHidden/>
    <w:rsid w:val="000D7BB2"/>
    <w:rPr>
      <w:b/>
      <w:bCs/>
      <w:sz w:val="20"/>
      <w:szCs w:val="20"/>
    </w:rPr>
  </w:style>
  <w:style w:type="character" w:styleId="FootnoteReference">
    <w:name w:val="footnote reference"/>
    <w:basedOn w:val="DefaultParagraphFont"/>
    <w:uiPriority w:val="99"/>
    <w:semiHidden/>
    <w:unhideWhenUsed/>
    <w:rsid w:val="008821B5"/>
  </w:style>
  <w:style w:type="paragraph" w:styleId="FootnoteText">
    <w:name w:val="footnote text"/>
    <w:basedOn w:val="Normal"/>
    <w:link w:val="FootnoteTextChar"/>
    <w:uiPriority w:val="99"/>
    <w:unhideWhenUsed/>
    <w:rsid w:val="008821B5"/>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8821B5"/>
    <w:rPr>
      <w:sz w:val="20"/>
      <w:szCs w:val="20"/>
      <w:lang w:val="en-US"/>
    </w:rPr>
  </w:style>
  <w:style w:type="table" w:styleId="TableGrid">
    <w:name w:val="Table Grid"/>
    <w:basedOn w:val="TableNormal"/>
    <w:uiPriority w:val="59"/>
    <w:rsid w:val="008821B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65F9C"/>
    <w:pPr>
      <w:spacing w:line="240" w:lineRule="auto"/>
    </w:pPr>
    <w:rPr>
      <w:sz w:val="20"/>
      <w:szCs w:val="20"/>
    </w:rPr>
  </w:style>
  <w:style w:type="character" w:customStyle="1" w:styleId="CommentTextChar">
    <w:name w:val="Comment Text Char"/>
    <w:basedOn w:val="DefaultParagraphFont"/>
    <w:link w:val="CommentText"/>
    <w:uiPriority w:val="99"/>
    <w:semiHidden/>
    <w:rsid w:val="00265F9C"/>
    <w:rPr>
      <w:sz w:val="20"/>
      <w:szCs w:val="20"/>
    </w:rPr>
  </w:style>
  <w:style w:type="character" w:styleId="CommentReference">
    <w:name w:val="annotation reference"/>
    <w:basedOn w:val="DefaultParagraphFont"/>
    <w:uiPriority w:val="99"/>
    <w:semiHidden/>
    <w:unhideWhenUsed/>
    <w:rsid w:val="00265F9C"/>
    <w:rPr>
      <w:sz w:val="16"/>
      <w:szCs w:val="16"/>
    </w:rPr>
  </w:style>
  <w:style w:type="paragraph" w:styleId="BalloonText">
    <w:name w:val="Balloon Text"/>
    <w:basedOn w:val="Normal"/>
    <w:link w:val="BalloonTextChar"/>
    <w:uiPriority w:val="99"/>
    <w:semiHidden/>
    <w:unhideWhenUsed/>
    <w:rsid w:val="00265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F9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D7BB2"/>
    <w:rPr>
      <w:b/>
      <w:bCs/>
    </w:rPr>
  </w:style>
  <w:style w:type="character" w:customStyle="1" w:styleId="CommentSubjectChar">
    <w:name w:val="Comment Subject Char"/>
    <w:basedOn w:val="CommentTextChar"/>
    <w:link w:val="CommentSubject"/>
    <w:uiPriority w:val="99"/>
    <w:semiHidden/>
    <w:rsid w:val="000D7BB2"/>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8DB51-7CC9-4A46-AC82-5B233EF5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Marple,Chari [NCR]</dc:creator>
  <cp:lastModifiedBy>jalvarez</cp:lastModifiedBy>
  <cp:revision>2</cp:revision>
  <cp:lastPrinted>2013-09-23T18:34:00Z</cp:lastPrinted>
  <dcterms:created xsi:type="dcterms:W3CDTF">2015-02-05T07:52:00Z</dcterms:created>
  <dcterms:modified xsi:type="dcterms:W3CDTF">2015-02-05T07:52:00Z</dcterms:modified>
</cp:coreProperties>
</file>