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BF" w:rsidRPr="00703E0E" w:rsidRDefault="003741BF" w:rsidP="00E309BD">
      <w:pPr>
        <w:pStyle w:val="Title"/>
      </w:pPr>
    </w:p>
    <w:p w:rsidR="003741BF" w:rsidRPr="00703E0E" w:rsidRDefault="008462A5" w:rsidP="00E309BD">
      <w:pPr>
        <w:pStyle w:val="Title"/>
      </w:pPr>
      <w:r>
        <w:t>G</w:t>
      </w:r>
      <w:r w:rsidR="003741BF" w:rsidRPr="00703E0E">
        <w:t>uidance for the control of the import and export of POPs</w:t>
      </w:r>
    </w:p>
    <w:p w:rsidR="003741BF" w:rsidRPr="00703E0E" w:rsidRDefault="003741BF" w:rsidP="00EB5742">
      <w:pPr>
        <w:rPr>
          <w:rFonts w:ascii="Times New Roman" w:hAnsi="Times New Roman"/>
          <w:sz w:val="24"/>
          <w:szCs w:val="24"/>
        </w:rPr>
      </w:pPr>
    </w:p>
    <w:p w:rsidR="003741BF" w:rsidRPr="00703E0E" w:rsidRDefault="003741BF" w:rsidP="00EB5742">
      <w:pPr>
        <w:rPr>
          <w:rFonts w:ascii="Times New Roman" w:hAnsi="Times New Roman"/>
          <w:sz w:val="24"/>
          <w:szCs w:val="24"/>
        </w:rPr>
      </w:pPr>
    </w:p>
    <w:p w:rsidR="003741BF" w:rsidRPr="00703E0E" w:rsidRDefault="003741BF" w:rsidP="00EB5742">
      <w:pPr>
        <w:rPr>
          <w:rFonts w:ascii="Times New Roman" w:hAnsi="Times New Roman"/>
          <w:sz w:val="24"/>
          <w:szCs w:val="24"/>
        </w:rPr>
      </w:pPr>
    </w:p>
    <w:p w:rsidR="003741BF" w:rsidRDefault="003741BF" w:rsidP="00504575"/>
    <w:p w:rsidR="00C90736" w:rsidRDefault="00C90736" w:rsidP="00504575"/>
    <w:p w:rsidR="00C90736" w:rsidRDefault="00C90736" w:rsidP="00504575"/>
    <w:p w:rsidR="00C90736" w:rsidRPr="00703E0E" w:rsidRDefault="00C90736" w:rsidP="00504575"/>
    <w:p w:rsidR="003741BF" w:rsidRPr="00703E0E" w:rsidRDefault="003741BF" w:rsidP="00504575"/>
    <w:p w:rsidR="003741BF" w:rsidRPr="00703E0E" w:rsidRDefault="003741BF" w:rsidP="00504575">
      <w:pPr>
        <w:pStyle w:val="ListParagraph"/>
      </w:pPr>
    </w:p>
    <w:p w:rsidR="003741BF" w:rsidRPr="00703E0E" w:rsidRDefault="003741BF" w:rsidP="00504575">
      <w:pPr>
        <w:pStyle w:val="Heading1"/>
        <w:numPr>
          <w:ilvl w:val="0"/>
          <w:numId w:val="0"/>
        </w:numPr>
        <w:ind w:left="720" w:hanging="720"/>
      </w:pPr>
    </w:p>
    <w:p w:rsidR="003741BF" w:rsidRDefault="003741BF" w:rsidP="006919A9">
      <w:pPr>
        <w:tabs>
          <w:tab w:val="left" w:pos="3810"/>
        </w:tabs>
      </w:pPr>
    </w:p>
    <w:p w:rsidR="00C15C5A" w:rsidRPr="00703E0E" w:rsidRDefault="00C15C5A" w:rsidP="006919A9">
      <w:pPr>
        <w:tabs>
          <w:tab w:val="left" w:pos="3810"/>
        </w:tabs>
      </w:pPr>
    </w:p>
    <w:p w:rsidR="003741BF" w:rsidRPr="00703E0E" w:rsidRDefault="003741BF" w:rsidP="00504575"/>
    <w:p w:rsidR="003741BF" w:rsidRPr="00703E0E" w:rsidRDefault="003741BF">
      <w:pPr>
        <w:pStyle w:val="TOCHeading"/>
        <w:rPr>
          <w:lang w:val="en-GB"/>
        </w:rPr>
      </w:pPr>
    </w:p>
    <w:p w:rsidR="003741BF" w:rsidRPr="00703E0E" w:rsidRDefault="003741BF">
      <w:pPr>
        <w:pStyle w:val="TOCHeading"/>
        <w:rPr>
          <w:lang w:val="en-GB"/>
        </w:rPr>
      </w:pPr>
    </w:p>
    <w:p w:rsidR="00C90736" w:rsidRDefault="00C90736" w:rsidP="00C90736">
      <w:pPr>
        <w:jc w:val="center"/>
        <w:rPr>
          <w:sz w:val="32"/>
          <w:szCs w:val="32"/>
        </w:rPr>
      </w:pPr>
      <w:r>
        <w:rPr>
          <w:sz w:val="32"/>
          <w:szCs w:val="32"/>
        </w:rPr>
        <w:t>Draft</w:t>
      </w:r>
    </w:p>
    <w:p w:rsidR="00C90736" w:rsidRPr="00F97387" w:rsidRDefault="00C90736" w:rsidP="00C90736">
      <w:pPr>
        <w:jc w:val="center"/>
        <w:rPr>
          <w:sz w:val="32"/>
          <w:szCs w:val="32"/>
        </w:rPr>
      </w:pPr>
      <w:r>
        <w:rPr>
          <w:sz w:val="32"/>
          <w:szCs w:val="32"/>
        </w:rPr>
        <w:t>July</w:t>
      </w:r>
      <w:r w:rsidRPr="00F97387">
        <w:rPr>
          <w:sz w:val="32"/>
          <w:szCs w:val="32"/>
        </w:rPr>
        <w:t xml:space="preserve"> 2012</w:t>
      </w:r>
    </w:p>
    <w:p w:rsidR="003741BF" w:rsidRPr="00703E0E" w:rsidRDefault="00E20E03">
      <w:pPr>
        <w:pStyle w:val="TOCHeading"/>
        <w:rPr>
          <w:lang w:val="en-GB"/>
        </w:rPr>
      </w:pPr>
      <w:r w:rsidRPr="00E20E03">
        <w:rPr>
          <w:noProof/>
          <w:lang w:val="fr-FR" w:eastAsia="ja-JP"/>
        </w:rPr>
        <w:pict>
          <v:group id="_x0000_s1026" style="position:absolute;margin-left:-4.65pt;margin-top:155.1pt;width:490.45pt;height:51.45pt;z-index:-251658240" coordorigin="581,10348" coordsize="9809,1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81;top:10386;width:1136;height:954">
              <v:imagedata r:id="rId8" o:title="" cropright="57821f"/>
            </v:shape>
            <v:shape id="_x0000_s1028" type="#_x0000_t75" style="position:absolute;left:6743;top:10423;width:1451;height:954">
              <v:imagedata r:id="rId8" o:title="" cropleft="46324f" cropright="9358f"/>
            </v:shape>
            <v:shape id="_x0000_s1029" type="#_x0000_t75" style="position:absolute;left:8350;top:10404;width:880;height:954">
              <v:imagedata r:id="rId8" o:title="" cropleft="59560f"/>
            </v:shape>
            <v:shape id="_x0000_s1030" type="#_x0000_t75" style="position:absolute;left:1890;top:10406;width:4713;height:954">
              <v:imagedata r:id="rId8" o:title="" cropleft="11158f" cropright="22371f"/>
            </v:shape>
            <v:shape id="_x0000_s1031" type="#_x0000_t75" style="position:absolute;left:9382;top:10348;width:1008;height:1008">
              <v:imagedata r:id="rId9" o:title=""/>
            </v:shape>
          </v:group>
        </w:pict>
      </w:r>
      <w:r w:rsidR="003741BF" w:rsidRPr="00703E0E">
        <w:rPr>
          <w:lang w:val="en-GB"/>
        </w:rPr>
        <w:br w:type="page"/>
      </w:r>
    </w:p>
    <w:tbl>
      <w:tblPr>
        <w:tblpPr w:leftFromText="180" w:rightFromText="180" w:vertAnchor="text" w:horzAnchor="margin" w:tblpXSpec="center" w:tblpY="346"/>
        <w:tblW w:w="0" w:type="auto"/>
        <w:jc w:val="center"/>
        <w:tblBorders>
          <w:top w:val="single" w:sz="48" w:space="0" w:color="B6DDE8"/>
          <w:left w:val="single" w:sz="48" w:space="0" w:color="B6DDE8"/>
          <w:bottom w:val="single" w:sz="48" w:space="0" w:color="B6DDE8"/>
          <w:right w:val="single" w:sz="48" w:space="0" w:color="B6DDE8"/>
          <w:insideH w:val="single" w:sz="48" w:space="0" w:color="B6DDE8"/>
          <w:insideV w:val="single" w:sz="48" w:space="0" w:color="FFC000"/>
        </w:tblBorders>
        <w:tblLook w:val="00A0"/>
      </w:tblPr>
      <w:tblGrid>
        <w:gridCol w:w="9072"/>
      </w:tblGrid>
      <w:tr w:rsidR="003741BF" w:rsidRPr="00703E0E">
        <w:trPr>
          <w:jc w:val="center"/>
        </w:trPr>
        <w:tc>
          <w:tcPr>
            <w:tcW w:w="9072" w:type="dxa"/>
            <w:tcBorders>
              <w:top w:val="single" w:sz="48" w:space="0" w:color="B6DDE8"/>
              <w:left w:val="single" w:sz="48" w:space="0" w:color="B6DDE8"/>
              <w:bottom w:val="single" w:sz="48" w:space="0" w:color="B6DDE8"/>
              <w:right w:val="single" w:sz="48" w:space="0" w:color="B6DDE8"/>
            </w:tcBorders>
            <w:tcMar>
              <w:top w:w="113" w:type="dxa"/>
              <w:left w:w="227" w:type="dxa"/>
              <w:bottom w:w="113" w:type="dxa"/>
              <w:right w:w="227" w:type="dxa"/>
            </w:tcMar>
          </w:tcPr>
          <w:p w:rsidR="003741BF" w:rsidRPr="00703E0E" w:rsidRDefault="003741BF" w:rsidP="00D67B74">
            <w:pPr>
              <w:jc w:val="center"/>
              <w:rPr>
                <w:rFonts w:cs="Calibri"/>
                <w:b/>
              </w:rPr>
            </w:pPr>
            <w:r w:rsidRPr="00703E0E">
              <w:rPr>
                <w:rFonts w:cs="Calibri"/>
                <w:b/>
              </w:rPr>
              <w:lastRenderedPageBreak/>
              <w:t>Aim of the Guidance Document</w:t>
            </w:r>
          </w:p>
          <w:p w:rsidR="003741BF" w:rsidRPr="00703E0E" w:rsidRDefault="003741BF" w:rsidP="00C85244">
            <w:pPr>
              <w:rPr>
                <w:b/>
              </w:rPr>
            </w:pPr>
            <w:r>
              <w:rPr>
                <w:rFonts w:cs="Calibri"/>
              </w:rPr>
              <w:t>This document aims to help</w:t>
            </w:r>
            <w:r w:rsidRPr="00703E0E">
              <w:rPr>
                <w:rFonts w:cs="Calibri"/>
              </w:rPr>
              <w:t xml:space="preserve"> stakeholders – </w:t>
            </w:r>
            <w:r w:rsidRPr="00703E0E">
              <w:t xml:space="preserve">customs authorities, local control authorities, national government authorities, and companies </w:t>
            </w:r>
            <w:r w:rsidRPr="00703E0E">
              <w:rPr>
                <w:rFonts w:cs="Calibri"/>
              </w:rPr>
              <w:t>– to understand which POPs can be traded internationally and how POPs</w:t>
            </w:r>
            <w:r w:rsidR="00C85244">
              <w:rPr>
                <w:rFonts w:cs="Calibri"/>
              </w:rPr>
              <w:t xml:space="preserve"> listed in 2009 and 2011</w:t>
            </w:r>
            <w:r w:rsidRPr="00703E0E">
              <w:rPr>
                <w:rFonts w:cs="Calibri"/>
              </w:rPr>
              <w:t xml:space="preserve"> and DDT can be controlled, whether as substances or contained in mixtures or articles.</w:t>
            </w:r>
          </w:p>
        </w:tc>
      </w:tr>
    </w:tbl>
    <w:p w:rsidR="00C15C5A" w:rsidRDefault="00C15C5A">
      <w:pPr>
        <w:pStyle w:val="TOCHeading"/>
        <w:rPr>
          <w:lang w:val="en-GB"/>
        </w:rPr>
      </w:pPr>
    </w:p>
    <w:p w:rsidR="00C15C5A" w:rsidRDefault="00C15C5A">
      <w:pPr>
        <w:pStyle w:val="TOCHeading"/>
        <w:rPr>
          <w:lang w:val="en-GB"/>
        </w:rPr>
      </w:pPr>
    </w:p>
    <w:p w:rsidR="00C15C5A" w:rsidRDefault="00C15C5A">
      <w:pPr>
        <w:pStyle w:val="TOCHeading"/>
        <w:rPr>
          <w:lang w:val="en-GB"/>
        </w:rPr>
      </w:pPr>
    </w:p>
    <w:p w:rsidR="00C57205" w:rsidRDefault="00C57205" w:rsidP="00C57205"/>
    <w:p w:rsidR="00C57205" w:rsidRDefault="00C57205" w:rsidP="00C57205"/>
    <w:p w:rsidR="00C57205" w:rsidRDefault="00C57205" w:rsidP="00C57205"/>
    <w:p w:rsidR="00C57205" w:rsidRDefault="00C57205" w:rsidP="00C57205"/>
    <w:p w:rsidR="00C57205" w:rsidRDefault="00C57205" w:rsidP="00C57205"/>
    <w:p w:rsidR="00C57205" w:rsidRDefault="00C57205" w:rsidP="00C57205"/>
    <w:p w:rsidR="00C57205" w:rsidRDefault="00C57205" w:rsidP="00C57205"/>
    <w:p w:rsidR="00C57205" w:rsidRDefault="00C57205" w:rsidP="00C57205"/>
    <w:p w:rsidR="00C57205" w:rsidRDefault="00C57205" w:rsidP="00C57205"/>
    <w:p w:rsidR="00C57205" w:rsidRDefault="00C57205" w:rsidP="00C57205"/>
    <w:p w:rsidR="00C57205" w:rsidRDefault="00C57205" w:rsidP="00C57205"/>
    <w:p w:rsidR="00C15C5A" w:rsidRDefault="00C15C5A">
      <w:pPr>
        <w:pStyle w:val="TOCHeading"/>
        <w:rPr>
          <w:lang w:val="en-GB"/>
        </w:rPr>
      </w:pPr>
    </w:p>
    <w:tbl>
      <w:tblPr>
        <w:tblpPr w:leftFromText="180" w:rightFromText="180" w:vertAnchor="text" w:horzAnchor="margin" w:tblpXSpec="center" w:tblpY="346"/>
        <w:tblW w:w="0" w:type="auto"/>
        <w:jc w:val="center"/>
        <w:tblBorders>
          <w:top w:val="single" w:sz="48" w:space="0" w:color="B6DDE8"/>
          <w:left w:val="single" w:sz="48" w:space="0" w:color="B6DDE8"/>
          <w:bottom w:val="single" w:sz="48" w:space="0" w:color="B6DDE8"/>
          <w:right w:val="single" w:sz="48" w:space="0" w:color="B6DDE8"/>
          <w:insideH w:val="single" w:sz="48" w:space="0" w:color="B6DDE8"/>
          <w:insideV w:val="single" w:sz="48" w:space="0" w:color="FFC000"/>
        </w:tblBorders>
        <w:tblLook w:val="00A0"/>
      </w:tblPr>
      <w:tblGrid>
        <w:gridCol w:w="9072"/>
      </w:tblGrid>
      <w:tr w:rsidR="00693598" w:rsidRPr="00703E0E" w:rsidTr="00204B29">
        <w:trPr>
          <w:jc w:val="center"/>
        </w:trPr>
        <w:tc>
          <w:tcPr>
            <w:tcW w:w="9072" w:type="dxa"/>
            <w:tcBorders>
              <w:top w:val="single" w:sz="48" w:space="0" w:color="B6DDE8"/>
              <w:left w:val="single" w:sz="48" w:space="0" w:color="B6DDE8"/>
              <w:bottom w:val="single" w:sz="48" w:space="0" w:color="B6DDE8"/>
              <w:right w:val="single" w:sz="48" w:space="0" w:color="B6DDE8"/>
            </w:tcBorders>
            <w:tcMar>
              <w:top w:w="113" w:type="dxa"/>
              <w:left w:w="227" w:type="dxa"/>
              <w:bottom w:w="113" w:type="dxa"/>
              <w:right w:w="227" w:type="dxa"/>
            </w:tcMar>
          </w:tcPr>
          <w:p w:rsidR="00693598" w:rsidRPr="00693598" w:rsidRDefault="00693598" w:rsidP="00693598">
            <w:pPr>
              <w:jc w:val="center"/>
              <w:rPr>
                <w:rFonts w:cs="Calibri"/>
                <w:b/>
              </w:rPr>
            </w:pPr>
            <w:r w:rsidRPr="00693598">
              <w:rPr>
                <w:rFonts w:cs="Calibri"/>
                <w:b/>
              </w:rPr>
              <w:t>Disclaimer</w:t>
            </w:r>
          </w:p>
          <w:p w:rsidR="00693598" w:rsidRPr="00693598" w:rsidRDefault="00693598" w:rsidP="00FB2752">
            <w:r w:rsidRPr="00693598">
              <w:rPr>
                <w:rFonts w:cs="Calibri"/>
              </w:rPr>
              <w:t xml:space="preserve">The views expressed in this publication do not necessarily reflect the views of the Secretariat of the Stockholm Convention (SSC), the United Nations Environment Programme (UNEP), the United Nations Industrial Development Organization (UNIDO), the United Nations Institute for Training and Research (UNITAR), the United Nations (UN) or other contributory organizations. SSC, UNEP, UNIDO, UNITAR  or the UN do not accept responsibility for the accuracy or completeness of the contents and shall not be liable for any loss or damage that may be occasioned, directly or indirectly, through the use of, or reliance on, the contents of this publication. </w:t>
            </w:r>
          </w:p>
        </w:tc>
      </w:tr>
    </w:tbl>
    <w:p w:rsidR="003741BF" w:rsidRPr="00703E0E" w:rsidRDefault="003741BF">
      <w:pPr>
        <w:pStyle w:val="TOCHeading"/>
        <w:rPr>
          <w:lang w:val="en-GB"/>
        </w:rPr>
      </w:pPr>
      <w:r w:rsidRPr="00703E0E">
        <w:rPr>
          <w:lang w:val="en-GB"/>
        </w:rPr>
        <w:br w:type="page"/>
      </w:r>
      <w:r w:rsidRPr="00703E0E">
        <w:rPr>
          <w:lang w:val="en-GB"/>
        </w:rPr>
        <w:lastRenderedPageBreak/>
        <w:t>Table of Contents</w:t>
      </w:r>
    </w:p>
    <w:p w:rsidR="003741BF" w:rsidRDefault="00E20E03" w:rsidP="00A14F89">
      <w:pPr>
        <w:pStyle w:val="TOC1"/>
        <w:rPr>
          <w:rFonts w:eastAsia="Times New Roman" w:cs="Times New Roman"/>
          <w:lang w:val="en-CA" w:eastAsia="en-CA"/>
        </w:rPr>
      </w:pPr>
      <w:r w:rsidRPr="00E20E03">
        <w:fldChar w:fldCharType="begin"/>
      </w:r>
      <w:r w:rsidR="003741BF" w:rsidRPr="00703E0E">
        <w:instrText xml:space="preserve"> TOC \o "1-3" \h \z \u </w:instrText>
      </w:r>
      <w:r w:rsidRPr="00E20E03">
        <w:fldChar w:fldCharType="separate"/>
      </w:r>
      <w:hyperlink w:anchor="_Toc326160676" w:history="1">
        <w:r w:rsidR="003741BF" w:rsidRPr="00416B3E">
          <w:rPr>
            <w:rStyle w:val="Hyperlink"/>
            <w:rFonts w:cs="Calibri"/>
          </w:rPr>
          <w:t>Abbreviations and acronyms</w:t>
        </w:r>
        <w:r w:rsidR="003741BF">
          <w:rPr>
            <w:webHidden/>
          </w:rPr>
          <w:tab/>
        </w:r>
        <w:r>
          <w:rPr>
            <w:webHidden/>
          </w:rPr>
          <w:fldChar w:fldCharType="begin"/>
        </w:r>
        <w:r w:rsidR="003741BF">
          <w:rPr>
            <w:webHidden/>
          </w:rPr>
          <w:instrText xml:space="preserve"> PAGEREF _Toc326160676 \h </w:instrText>
        </w:r>
        <w:r>
          <w:rPr>
            <w:webHidden/>
          </w:rPr>
        </w:r>
        <w:r>
          <w:rPr>
            <w:webHidden/>
          </w:rPr>
          <w:fldChar w:fldCharType="separate"/>
        </w:r>
        <w:r w:rsidR="004704E9">
          <w:rPr>
            <w:webHidden/>
          </w:rPr>
          <w:t>1</w:t>
        </w:r>
        <w:r>
          <w:rPr>
            <w:webHidden/>
          </w:rPr>
          <w:fldChar w:fldCharType="end"/>
        </w:r>
      </w:hyperlink>
    </w:p>
    <w:p w:rsidR="003741BF" w:rsidRDefault="00E20E03" w:rsidP="00A14F89">
      <w:pPr>
        <w:pStyle w:val="TOC1"/>
        <w:rPr>
          <w:rFonts w:eastAsia="Times New Roman" w:cs="Times New Roman"/>
          <w:lang w:val="en-CA" w:eastAsia="en-CA"/>
        </w:rPr>
      </w:pPr>
      <w:hyperlink w:anchor="_Toc326160677" w:history="1">
        <w:r w:rsidR="003741BF" w:rsidRPr="00416B3E">
          <w:rPr>
            <w:rStyle w:val="Hyperlink"/>
            <w:rFonts w:cs="Calibri"/>
          </w:rPr>
          <w:t>1</w:t>
        </w:r>
        <w:r w:rsidR="003741BF">
          <w:rPr>
            <w:rFonts w:eastAsia="Times New Roman" w:cs="Times New Roman"/>
            <w:lang w:val="en-CA" w:eastAsia="en-CA"/>
          </w:rPr>
          <w:tab/>
        </w:r>
        <w:r w:rsidR="003741BF" w:rsidRPr="00416B3E">
          <w:rPr>
            <w:rStyle w:val="Hyperlink"/>
            <w:rFonts w:cs="Calibri"/>
          </w:rPr>
          <w:t>Overview of this guidance document</w:t>
        </w:r>
        <w:r w:rsidR="003741BF">
          <w:rPr>
            <w:webHidden/>
          </w:rPr>
          <w:tab/>
        </w:r>
        <w:r>
          <w:rPr>
            <w:webHidden/>
          </w:rPr>
          <w:fldChar w:fldCharType="begin"/>
        </w:r>
        <w:r w:rsidR="003741BF">
          <w:rPr>
            <w:webHidden/>
          </w:rPr>
          <w:instrText xml:space="preserve"> PAGEREF _Toc326160677 \h </w:instrText>
        </w:r>
        <w:r>
          <w:rPr>
            <w:webHidden/>
          </w:rPr>
        </w:r>
        <w:r>
          <w:rPr>
            <w:webHidden/>
          </w:rPr>
          <w:fldChar w:fldCharType="separate"/>
        </w:r>
        <w:r w:rsidR="004704E9">
          <w:rPr>
            <w:webHidden/>
          </w:rPr>
          <w:t>2</w:t>
        </w:r>
        <w:r>
          <w:rPr>
            <w:webHidden/>
          </w:rPr>
          <w:fldChar w:fldCharType="end"/>
        </w:r>
      </w:hyperlink>
    </w:p>
    <w:p w:rsidR="003741BF" w:rsidRDefault="00E20E03">
      <w:pPr>
        <w:pStyle w:val="TOC2"/>
        <w:rPr>
          <w:rFonts w:eastAsia="Times New Roman"/>
          <w:noProof/>
          <w:lang w:val="en-CA" w:eastAsia="en-CA"/>
        </w:rPr>
      </w:pPr>
      <w:hyperlink w:anchor="_Toc326160678" w:history="1">
        <w:r w:rsidR="003741BF" w:rsidRPr="00416B3E">
          <w:rPr>
            <w:rStyle w:val="Hyperlink"/>
            <w:noProof/>
          </w:rPr>
          <w:t>1.1</w:t>
        </w:r>
        <w:r w:rsidR="003741BF">
          <w:rPr>
            <w:rFonts w:eastAsia="Times New Roman"/>
            <w:noProof/>
            <w:lang w:val="en-CA" w:eastAsia="en-CA"/>
          </w:rPr>
          <w:tab/>
        </w:r>
        <w:r w:rsidR="003741BF" w:rsidRPr="00416B3E">
          <w:rPr>
            <w:rStyle w:val="Hyperlink"/>
            <w:noProof/>
          </w:rPr>
          <w:t>Objective</w:t>
        </w:r>
        <w:r w:rsidR="003741BF">
          <w:rPr>
            <w:noProof/>
            <w:webHidden/>
          </w:rPr>
          <w:tab/>
        </w:r>
        <w:r>
          <w:rPr>
            <w:noProof/>
            <w:webHidden/>
          </w:rPr>
          <w:fldChar w:fldCharType="begin"/>
        </w:r>
        <w:r w:rsidR="003741BF">
          <w:rPr>
            <w:noProof/>
            <w:webHidden/>
          </w:rPr>
          <w:instrText xml:space="preserve"> PAGEREF _Toc326160678 \h </w:instrText>
        </w:r>
        <w:r>
          <w:rPr>
            <w:noProof/>
            <w:webHidden/>
          </w:rPr>
        </w:r>
        <w:r>
          <w:rPr>
            <w:noProof/>
            <w:webHidden/>
          </w:rPr>
          <w:fldChar w:fldCharType="separate"/>
        </w:r>
        <w:r w:rsidR="004704E9">
          <w:rPr>
            <w:noProof/>
            <w:webHidden/>
          </w:rPr>
          <w:t>2</w:t>
        </w:r>
        <w:r>
          <w:rPr>
            <w:noProof/>
            <w:webHidden/>
          </w:rPr>
          <w:fldChar w:fldCharType="end"/>
        </w:r>
      </w:hyperlink>
    </w:p>
    <w:p w:rsidR="003741BF" w:rsidRDefault="00E20E03">
      <w:pPr>
        <w:pStyle w:val="TOC2"/>
        <w:rPr>
          <w:rFonts w:eastAsia="Times New Roman"/>
          <w:noProof/>
          <w:lang w:val="en-CA" w:eastAsia="en-CA"/>
        </w:rPr>
      </w:pPr>
      <w:hyperlink w:anchor="_Toc326160679" w:history="1">
        <w:r w:rsidR="003741BF" w:rsidRPr="00416B3E">
          <w:rPr>
            <w:rStyle w:val="Hyperlink"/>
            <w:noProof/>
          </w:rPr>
          <w:t>1.2</w:t>
        </w:r>
        <w:r w:rsidR="003741BF">
          <w:rPr>
            <w:rFonts w:eastAsia="Times New Roman"/>
            <w:noProof/>
            <w:lang w:val="en-CA" w:eastAsia="en-CA"/>
          </w:rPr>
          <w:tab/>
        </w:r>
        <w:r w:rsidR="003741BF" w:rsidRPr="00416B3E">
          <w:rPr>
            <w:rStyle w:val="Hyperlink"/>
            <w:noProof/>
          </w:rPr>
          <w:t>Identification of chemicals as substances, in mixtures, and in articles</w:t>
        </w:r>
        <w:r w:rsidR="003741BF">
          <w:rPr>
            <w:noProof/>
            <w:webHidden/>
          </w:rPr>
          <w:tab/>
        </w:r>
        <w:r>
          <w:rPr>
            <w:noProof/>
            <w:webHidden/>
          </w:rPr>
          <w:fldChar w:fldCharType="begin"/>
        </w:r>
        <w:r w:rsidR="003741BF">
          <w:rPr>
            <w:noProof/>
            <w:webHidden/>
          </w:rPr>
          <w:instrText xml:space="preserve"> PAGEREF _Toc326160679 \h </w:instrText>
        </w:r>
        <w:r>
          <w:rPr>
            <w:noProof/>
            <w:webHidden/>
          </w:rPr>
        </w:r>
        <w:r>
          <w:rPr>
            <w:noProof/>
            <w:webHidden/>
          </w:rPr>
          <w:fldChar w:fldCharType="separate"/>
        </w:r>
        <w:r w:rsidR="004704E9">
          <w:rPr>
            <w:noProof/>
            <w:webHidden/>
          </w:rPr>
          <w:t>2</w:t>
        </w:r>
        <w:r>
          <w:rPr>
            <w:noProof/>
            <w:webHidden/>
          </w:rPr>
          <w:fldChar w:fldCharType="end"/>
        </w:r>
      </w:hyperlink>
    </w:p>
    <w:p w:rsidR="003741BF" w:rsidRDefault="00E20E03" w:rsidP="00A14F89">
      <w:pPr>
        <w:pStyle w:val="TOC1"/>
        <w:rPr>
          <w:rFonts w:eastAsia="Times New Roman" w:cs="Times New Roman"/>
          <w:lang w:val="en-CA" w:eastAsia="en-CA"/>
        </w:rPr>
      </w:pPr>
      <w:hyperlink w:anchor="_Toc326160680" w:history="1">
        <w:r w:rsidR="003741BF" w:rsidRPr="00416B3E">
          <w:rPr>
            <w:rStyle w:val="Hyperlink"/>
            <w:rFonts w:cs="Calibri"/>
          </w:rPr>
          <w:t>2</w:t>
        </w:r>
        <w:r w:rsidR="003741BF">
          <w:rPr>
            <w:rFonts w:eastAsia="Times New Roman" w:cs="Times New Roman"/>
            <w:lang w:val="en-CA" w:eastAsia="en-CA"/>
          </w:rPr>
          <w:tab/>
        </w:r>
        <w:r w:rsidR="003741BF" w:rsidRPr="00416B3E">
          <w:rPr>
            <w:rStyle w:val="Hyperlink"/>
            <w:rFonts w:cs="Calibri"/>
          </w:rPr>
          <w:t>Introduction to the legal obligations for listed POPs</w:t>
        </w:r>
        <w:r w:rsidR="003741BF">
          <w:rPr>
            <w:webHidden/>
          </w:rPr>
          <w:tab/>
        </w:r>
        <w:r>
          <w:rPr>
            <w:webHidden/>
          </w:rPr>
          <w:fldChar w:fldCharType="begin"/>
        </w:r>
        <w:r w:rsidR="003741BF">
          <w:rPr>
            <w:webHidden/>
          </w:rPr>
          <w:instrText xml:space="preserve"> PAGEREF _Toc326160680 \h </w:instrText>
        </w:r>
        <w:r>
          <w:rPr>
            <w:webHidden/>
          </w:rPr>
        </w:r>
        <w:r>
          <w:rPr>
            <w:webHidden/>
          </w:rPr>
          <w:fldChar w:fldCharType="separate"/>
        </w:r>
        <w:r w:rsidR="004704E9">
          <w:rPr>
            <w:webHidden/>
          </w:rPr>
          <w:t>4</w:t>
        </w:r>
        <w:r>
          <w:rPr>
            <w:webHidden/>
          </w:rPr>
          <w:fldChar w:fldCharType="end"/>
        </w:r>
      </w:hyperlink>
    </w:p>
    <w:p w:rsidR="003741BF" w:rsidRDefault="00E20E03">
      <w:pPr>
        <w:pStyle w:val="TOC2"/>
        <w:rPr>
          <w:rFonts w:eastAsia="Times New Roman"/>
          <w:noProof/>
          <w:lang w:val="en-CA" w:eastAsia="en-CA"/>
        </w:rPr>
      </w:pPr>
      <w:hyperlink w:anchor="_Toc326160681" w:history="1">
        <w:r w:rsidR="003741BF" w:rsidRPr="00416B3E">
          <w:rPr>
            <w:rStyle w:val="Hyperlink"/>
            <w:noProof/>
          </w:rPr>
          <w:t>2.1</w:t>
        </w:r>
        <w:r w:rsidR="003741BF">
          <w:rPr>
            <w:rFonts w:eastAsia="Times New Roman"/>
            <w:noProof/>
            <w:lang w:val="en-CA" w:eastAsia="en-CA"/>
          </w:rPr>
          <w:tab/>
        </w:r>
        <w:r w:rsidR="003741BF" w:rsidRPr="00416B3E">
          <w:rPr>
            <w:rStyle w:val="Hyperlink"/>
            <w:noProof/>
          </w:rPr>
          <w:t>Legal basis for control</w:t>
        </w:r>
        <w:r w:rsidR="003741BF">
          <w:rPr>
            <w:noProof/>
            <w:webHidden/>
          </w:rPr>
          <w:tab/>
        </w:r>
        <w:r>
          <w:rPr>
            <w:noProof/>
            <w:webHidden/>
          </w:rPr>
          <w:fldChar w:fldCharType="begin"/>
        </w:r>
        <w:r w:rsidR="003741BF">
          <w:rPr>
            <w:noProof/>
            <w:webHidden/>
          </w:rPr>
          <w:instrText xml:space="preserve"> PAGEREF _Toc326160681 \h </w:instrText>
        </w:r>
        <w:r>
          <w:rPr>
            <w:noProof/>
            <w:webHidden/>
          </w:rPr>
        </w:r>
        <w:r>
          <w:rPr>
            <w:noProof/>
            <w:webHidden/>
          </w:rPr>
          <w:fldChar w:fldCharType="separate"/>
        </w:r>
        <w:r w:rsidR="004704E9">
          <w:rPr>
            <w:noProof/>
            <w:webHidden/>
          </w:rPr>
          <w:t>4</w:t>
        </w:r>
        <w:r>
          <w:rPr>
            <w:noProof/>
            <w:webHidden/>
          </w:rPr>
          <w:fldChar w:fldCharType="end"/>
        </w:r>
      </w:hyperlink>
    </w:p>
    <w:p w:rsidR="003741BF" w:rsidRDefault="00E20E03" w:rsidP="00676B8A">
      <w:pPr>
        <w:pStyle w:val="TOC3"/>
        <w:tabs>
          <w:tab w:val="left" w:pos="1320"/>
          <w:tab w:val="right" w:leader="dot" w:pos="9737"/>
        </w:tabs>
        <w:ind w:left="720"/>
        <w:rPr>
          <w:rFonts w:eastAsia="Times New Roman"/>
          <w:noProof/>
          <w:lang w:val="en-CA" w:eastAsia="en-CA"/>
        </w:rPr>
      </w:pPr>
      <w:hyperlink w:anchor="_Toc326160682" w:history="1">
        <w:r w:rsidR="003741BF" w:rsidRPr="00416B3E">
          <w:rPr>
            <w:rStyle w:val="Hyperlink"/>
            <w:noProof/>
            <w:lang w:eastAsia="de-DE"/>
          </w:rPr>
          <w:t>2.1.1</w:t>
        </w:r>
        <w:r w:rsidR="003741BF">
          <w:rPr>
            <w:rFonts w:eastAsia="Times New Roman"/>
            <w:noProof/>
            <w:lang w:val="en-CA" w:eastAsia="en-CA"/>
          </w:rPr>
          <w:tab/>
        </w:r>
        <w:r w:rsidR="003741BF" w:rsidRPr="00416B3E">
          <w:rPr>
            <w:rStyle w:val="Hyperlink"/>
            <w:noProof/>
            <w:lang w:eastAsia="de-DE"/>
          </w:rPr>
          <w:t>POPs legally on the national market</w:t>
        </w:r>
        <w:r w:rsidR="003741BF">
          <w:rPr>
            <w:noProof/>
            <w:webHidden/>
          </w:rPr>
          <w:tab/>
        </w:r>
        <w:r>
          <w:rPr>
            <w:noProof/>
            <w:webHidden/>
          </w:rPr>
          <w:fldChar w:fldCharType="begin"/>
        </w:r>
        <w:r w:rsidR="003741BF">
          <w:rPr>
            <w:noProof/>
            <w:webHidden/>
          </w:rPr>
          <w:instrText xml:space="preserve"> PAGEREF _Toc326160682 \h </w:instrText>
        </w:r>
        <w:r>
          <w:rPr>
            <w:noProof/>
            <w:webHidden/>
          </w:rPr>
        </w:r>
        <w:r>
          <w:rPr>
            <w:noProof/>
            <w:webHidden/>
          </w:rPr>
          <w:fldChar w:fldCharType="separate"/>
        </w:r>
        <w:r w:rsidR="004704E9">
          <w:rPr>
            <w:noProof/>
            <w:webHidden/>
          </w:rPr>
          <w:t>5</w:t>
        </w:r>
        <w:r>
          <w:rPr>
            <w:noProof/>
            <w:webHidden/>
          </w:rPr>
          <w:fldChar w:fldCharType="end"/>
        </w:r>
      </w:hyperlink>
    </w:p>
    <w:p w:rsidR="003741BF" w:rsidRDefault="00E20E03" w:rsidP="00676B8A">
      <w:pPr>
        <w:pStyle w:val="TOC3"/>
        <w:tabs>
          <w:tab w:val="left" w:pos="1320"/>
          <w:tab w:val="right" w:leader="dot" w:pos="9737"/>
        </w:tabs>
        <w:ind w:left="720"/>
        <w:rPr>
          <w:rFonts w:eastAsia="Times New Roman"/>
          <w:noProof/>
          <w:lang w:val="en-CA" w:eastAsia="en-CA"/>
        </w:rPr>
      </w:pPr>
      <w:hyperlink w:anchor="_Toc326160683" w:history="1">
        <w:r w:rsidR="003741BF" w:rsidRPr="00416B3E">
          <w:rPr>
            <w:rStyle w:val="Hyperlink"/>
            <w:noProof/>
            <w:lang w:eastAsia="de-DE"/>
          </w:rPr>
          <w:t>2.1.2</w:t>
        </w:r>
        <w:r w:rsidR="003741BF">
          <w:rPr>
            <w:rFonts w:eastAsia="Times New Roman"/>
            <w:noProof/>
            <w:lang w:val="en-CA" w:eastAsia="en-CA"/>
          </w:rPr>
          <w:tab/>
        </w:r>
        <w:r w:rsidR="003741BF" w:rsidRPr="00416B3E">
          <w:rPr>
            <w:rStyle w:val="Hyperlink"/>
            <w:noProof/>
            <w:lang w:eastAsia="de-DE"/>
          </w:rPr>
          <w:t xml:space="preserve">POPs legally traded </w:t>
        </w:r>
        <w:r w:rsidR="003741BF">
          <w:rPr>
            <w:noProof/>
            <w:webHidden/>
          </w:rPr>
          <w:tab/>
        </w:r>
        <w:r>
          <w:rPr>
            <w:noProof/>
            <w:webHidden/>
          </w:rPr>
          <w:fldChar w:fldCharType="begin"/>
        </w:r>
        <w:r w:rsidR="003741BF">
          <w:rPr>
            <w:noProof/>
            <w:webHidden/>
          </w:rPr>
          <w:instrText xml:space="preserve"> PAGEREF _Toc326160683 \h </w:instrText>
        </w:r>
        <w:r>
          <w:rPr>
            <w:noProof/>
            <w:webHidden/>
          </w:rPr>
        </w:r>
        <w:r>
          <w:rPr>
            <w:noProof/>
            <w:webHidden/>
          </w:rPr>
          <w:fldChar w:fldCharType="separate"/>
        </w:r>
        <w:r w:rsidR="004704E9">
          <w:rPr>
            <w:noProof/>
            <w:webHidden/>
          </w:rPr>
          <w:t>6</w:t>
        </w:r>
        <w:r>
          <w:rPr>
            <w:noProof/>
            <w:webHidden/>
          </w:rPr>
          <w:fldChar w:fldCharType="end"/>
        </w:r>
      </w:hyperlink>
    </w:p>
    <w:p w:rsidR="003741BF" w:rsidRDefault="00E20E03" w:rsidP="00676B8A">
      <w:pPr>
        <w:pStyle w:val="TOC3"/>
        <w:tabs>
          <w:tab w:val="left" w:pos="1320"/>
          <w:tab w:val="right" w:leader="dot" w:pos="9737"/>
        </w:tabs>
        <w:ind w:left="720"/>
        <w:rPr>
          <w:rFonts w:eastAsia="Times New Roman"/>
          <w:noProof/>
          <w:lang w:val="en-CA" w:eastAsia="en-CA"/>
        </w:rPr>
      </w:pPr>
      <w:hyperlink w:anchor="_Toc326160684" w:history="1">
        <w:r w:rsidR="003741BF" w:rsidRPr="00416B3E">
          <w:rPr>
            <w:rStyle w:val="Hyperlink"/>
            <w:noProof/>
            <w:lang w:eastAsia="de-DE"/>
          </w:rPr>
          <w:t>2.1.3</w:t>
        </w:r>
        <w:r w:rsidR="003741BF">
          <w:rPr>
            <w:rFonts w:eastAsia="Times New Roman"/>
            <w:noProof/>
            <w:lang w:val="en-CA" w:eastAsia="en-CA"/>
          </w:rPr>
          <w:tab/>
        </w:r>
        <w:r w:rsidR="003741BF" w:rsidRPr="00416B3E">
          <w:rPr>
            <w:rStyle w:val="Hyperlink"/>
            <w:noProof/>
            <w:lang w:eastAsia="de-DE"/>
          </w:rPr>
          <w:t>Obligations for POPs from other international multilateral environmental agreements (MEA): Rotterdam Convention and Basel Convention</w:t>
        </w:r>
        <w:r w:rsidR="003741BF">
          <w:rPr>
            <w:noProof/>
            <w:webHidden/>
          </w:rPr>
          <w:tab/>
        </w:r>
        <w:r>
          <w:rPr>
            <w:noProof/>
            <w:webHidden/>
          </w:rPr>
          <w:fldChar w:fldCharType="begin"/>
        </w:r>
        <w:r w:rsidR="003741BF">
          <w:rPr>
            <w:noProof/>
            <w:webHidden/>
          </w:rPr>
          <w:instrText xml:space="preserve"> PAGEREF _Toc326160684 \h </w:instrText>
        </w:r>
        <w:r>
          <w:rPr>
            <w:noProof/>
            <w:webHidden/>
          </w:rPr>
        </w:r>
        <w:r>
          <w:rPr>
            <w:noProof/>
            <w:webHidden/>
          </w:rPr>
          <w:fldChar w:fldCharType="separate"/>
        </w:r>
        <w:r w:rsidR="004704E9">
          <w:rPr>
            <w:noProof/>
            <w:webHidden/>
          </w:rPr>
          <w:t>8</w:t>
        </w:r>
        <w:r>
          <w:rPr>
            <w:noProof/>
            <w:webHidden/>
          </w:rPr>
          <w:fldChar w:fldCharType="end"/>
        </w:r>
      </w:hyperlink>
    </w:p>
    <w:p w:rsidR="003741BF" w:rsidRDefault="00E20E03">
      <w:pPr>
        <w:pStyle w:val="TOC2"/>
        <w:rPr>
          <w:rFonts w:eastAsia="Times New Roman"/>
          <w:noProof/>
          <w:lang w:val="en-CA" w:eastAsia="en-CA"/>
        </w:rPr>
      </w:pPr>
      <w:hyperlink w:anchor="_Toc326160685" w:history="1">
        <w:r w:rsidR="003741BF" w:rsidRPr="00416B3E">
          <w:rPr>
            <w:rStyle w:val="Hyperlink"/>
            <w:noProof/>
          </w:rPr>
          <w:t>2.2</w:t>
        </w:r>
        <w:r w:rsidR="003741BF">
          <w:rPr>
            <w:rFonts w:eastAsia="Times New Roman"/>
            <w:noProof/>
            <w:lang w:val="en-CA" w:eastAsia="en-CA"/>
          </w:rPr>
          <w:tab/>
        </w:r>
        <w:r w:rsidR="003741BF" w:rsidRPr="00416B3E">
          <w:rPr>
            <w:rStyle w:val="Hyperlink"/>
            <w:noProof/>
          </w:rPr>
          <w:t>Customs control</w:t>
        </w:r>
        <w:r w:rsidR="003741BF">
          <w:rPr>
            <w:noProof/>
            <w:webHidden/>
          </w:rPr>
          <w:tab/>
        </w:r>
        <w:r>
          <w:rPr>
            <w:noProof/>
            <w:webHidden/>
          </w:rPr>
          <w:fldChar w:fldCharType="begin"/>
        </w:r>
        <w:r w:rsidR="003741BF">
          <w:rPr>
            <w:noProof/>
            <w:webHidden/>
          </w:rPr>
          <w:instrText xml:space="preserve"> PAGEREF _Toc326160685 \h </w:instrText>
        </w:r>
        <w:r>
          <w:rPr>
            <w:noProof/>
            <w:webHidden/>
          </w:rPr>
        </w:r>
        <w:r>
          <w:rPr>
            <w:noProof/>
            <w:webHidden/>
          </w:rPr>
          <w:fldChar w:fldCharType="separate"/>
        </w:r>
        <w:r w:rsidR="004704E9">
          <w:rPr>
            <w:noProof/>
            <w:webHidden/>
          </w:rPr>
          <w:t>8</w:t>
        </w:r>
        <w:r>
          <w:rPr>
            <w:noProof/>
            <w:webHidden/>
          </w:rPr>
          <w:fldChar w:fldCharType="end"/>
        </w:r>
      </w:hyperlink>
    </w:p>
    <w:p w:rsidR="003741BF" w:rsidRDefault="00E20E03" w:rsidP="00676B8A">
      <w:pPr>
        <w:pStyle w:val="TOC3"/>
        <w:tabs>
          <w:tab w:val="left" w:pos="1320"/>
          <w:tab w:val="right" w:leader="dot" w:pos="9737"/>
        </w:tabs>
        <w:ind w:left="720"/>
        <w:rPr>
          <w:rFonts w:eastAsia="Times New Roman"/>
          <w:noProof/>
          <w:lang w:val="en-CA" w:eastAsia="en-CA"/>
        </w:rPr>
      </w:pPr>
      <w:hyperlink w:anchor="_Toc326160686" w:history="1">
        <w:r w:rsidR="003741BF" w:rsidRPr="00676B8A">
          <w:rPr>
            <w:rStyle w:val="Hyperlink"/>
            <w:noProof/>
            <w:lang w:eastAsia="de-DE" w:bidi="th-TH"/>
          </w:rPr>
          <w:t>2.2.1</w:t>
        </w:r>
        <w:r w:rsidR="003741BF" w:rsidRPr="00676B8A">
          <w:rPr>
            <w:rStyle w:val="Hyperlink"/>
            <w:lang w:eastAsia="de-DE" w:bidi="th-TH"/>
          </w:rPr>
          <w:tab/>
        </w:r>
        <w:r w:rsidR="003741BF" w:rsidRPr="00416B3E">
          <w:rPr>
            <w:rStyle w:val="Hyperlink"/>
            <w:noProof/>
          </w:rPr>
          <w:t>Control of customs papers related to the imported good</w:t>
        </w:r>
        <w:r w:rsidR="003741BF">
          <w:rPr>
            <w:noProof/>
            <w:webHidden/>
          </w:rPr>
          <w:tab/>
        </w:r>
        <w:r>
          <w:rPr>
            <w:noProof/>
            <w:webHidden/>
          </w:rPr>
          <w:fldChar w:fldCharType="begin"/>
        </w:r>
        <w:r w:rsidR="003741BF">
          <w:rPr>
            <w:noProof/>
            <w:webHidden/>
          </w:rPr>
          <w:instrText xml:space="preserve"> PAGEREF _Toc326160686 \h </w:instrText>
        </w:r>
        <w:r>
          <w:rPr>
            <w:noProof/>
            <w:webHidden/>
          </w:rPr>
        </w:r>
        <w:r>
          <w:rPr>
            <w:noProof/>
            <w:webHidden/>
          </w:rPr>
          <w:fldChar w:fldCharType="separate"/>
        </w:r>
        <w:r w:rsidR="004704E9">
          <w:rPr>
            <w:noProof/>
            <w:webHidden/>
          </w:rPr>
          <w:t>8</w:t>
        </w:r>
        <w:r>
          <w:rPr>
            <w:noProof/>
            <w:webHidden/>
          </w:rPr>
          <w:fldChar w:fldCharType="end"/>
        </w:r>
      </w:hyperlink>
    </w:p>
    <w:p w:rsidR="003741BF" w:rsidRDefault="00E20E03" w:rsidP="00676B8A">
      <w:pPr>
        <w:pStyle w:val="TOC3"/>
        <w:tabs>
          <w:tab w:val="left" w:pos="1320"/>
          <w:tab w:val="right" w:leader="dot" w:pos="9737"/>
        </w:tabs>
        <w:ind w:left="720"/>
        <w:rPr>
          <w:rFonts w:eastAsia="Times New Roman"/>
          <w:noProof/>
          <w:lang w:val="en-CA" w:eastAsia="en-CA"/>
        </w:rPr>
      </w:pPr>
      <w:hyperlink w:anchor="_Toc326160687" w:history="1">
        <w:r w:rsidR="003741BF" w:rsidRPr="00416B3E">
          <w:rPr>
            <w:rStyle w:val="Hyperlink"/>
            <w:noProof/>
            <w:lang w:eastAsia="de-DE" w:bidi="th-TH"/>
          </w:rPr>
          <w:t>2.2.2</w:t>
        </w:r>
        <w:r w:rsidR="003741BF">
          <w:rPr>
            <w:rFonts w:eastAsia="Times New Roman"/>
            <w:noProof/>
            <w:lang w:val="en-CA" w:eastAsia="en-CA"/>
          </w:rPr>
          <w:tab/>
        </w:r>
        <w:r w:rsidR="003741BF" w:rsidRPr="00416B3E">
          <w:rPr>
            <w:rStyle w:val="Hyperlink"/>
            <w:noProof/>
            <w:lang w:eastAsia="de-DE" w:bidi="th-TH"/>
          </w:rPr>
          <w:t>Inspection of the imported good based on a risk analysis</w:t>
        </w:r>
        <w:r w:rsidR="003741BF">
          <w:rPr>
            <w:noProof/>
            <w:webHidden/>
          </w:rPr>
          <w:tab/>
        </w:r>
        <w:r>
          <w:rPr>
            <w:noProof/>
            <w:webHidden/>
          </w:rPr>
          <w:fldChar w:fldCharType="begin"/>
        </w:r>
        <w:r w:rsidR="003741BF">
          <w:rPr>
            <w:noProof/>
            <w:webHidden/>
          </w:rPr>
          <w:instrText xml:space="preserve"> PAGEREF _Toc326160687 \h </w:instrText>
        </w:r>
        <w:r>
          <w:rPr>
            <w:noProof/>
            <w:webHidden/>
          </w:rPr>
        </w:r>
        <w:r>
          <w:rPr>
            <w:noProof/>
            <w:webHidden/>
          </w:rPr>
          <w:fldChar w:fldCharType="separate"/>
        </w:r>
        <w:r w:rsidR="004704E9">
          <w:rPr>
            <w:noProof/>
            <w:webHidden/>
          </w:rPr>
          <w:t>9</w:t>
        </w:r>
        <w:r>
          <w:rPr>
            <w:noProof/>
            <w:webHidden/>
          </w:rPr>
          <w:fldChar w:fldCharType="end"/>
        </w:r>
      </w:hyperlink>
    </w:p>
    <w:p w:rsidR="003741BF" w:rsidRDefault="00E20E03" w:rsidP="00676B8A">
      <w:pPr>
        <w:pStyle w:val="TOC3"/>
        <w:tabs>
          <w:tab w:val="left" w:pos="1320"/>
          <w:tab w:val="right" w:leader="dot" w:pos="9737"/>
        </w:tabs>
        <w:ind w:left="720"/>
        <w:rPr>
          <w:rFonts w:eastAsia="Times New Roman"/>
          <w:noProof/>
          <w:lang w:val="en-CA" w:eastAsia="en-CA"/>
        </w:rPr>
      </w:pPr>
      <w:hyperlink w:anchor="_Toc326160688" w:history="1">
        <w:r w:rsidR="003741BF" w:rsidRPr="00416B3E">
          <w:rPr>
            <w:rStyle w:val="Hyperlink"/>
            <w:noProof/>
            <w:lang w:eastAsia="de-DE"/>
          </w:rPr>
          <w:t>2.2.3</w:t>
        </w:r>
        <w:r w:rsidR="003741BF">
          <w:rPr>
            <w:rFonts w:eastAsia="Times New Roman"/>
            <w:noProof/>
            <w:lang w:val="en-CA" w:eastAsia="en-CA"/>
          </w:rPr>
          <w:tab/>
        </w:r>
        <w:r w:rsidR="003741BF" w:rsidRPr="00416B3E">
          <w:rPr>
            <w:rStyle w:val="Hyperlink"/>
            <w:noProof/>
            <w:lang w:eastAsia="de-DE"/>
          </w:rPr>
          <w:t>Laboratory analysis to identify the imported good</w:t>
        </w:r>
        <w:r w:rsidR="003741BF">
          <w:rPr>
            <w:noProof/>
            <w:webHidden/>
          </w:rPr>
          <w:tab/>
        </w:r>
        <w:r>
          <w:rPr>
            <w:noProof/>
            <w:webHidden/>
          </w:rPr>
          <w:fldChar w:fldCharType="begin"/>
        </w:r>
        <w:r w:rsidR="003741BF">
          <w:rPr>
            <w:noProof/>
            <w:webHidden/>
          </w:rPr>
          <w:instrText xml:space="preserve"> PAGEREF _Toc326160688 \h </w:instrText>
        </w:r>
        <w:r>
          <w:rPr>
            <w:noProof/>
            <w:webHidden/>
          </w:rPr>
        </w:r>
        <w:r>
          <w:rPr>
            <w:noProof/>
            <w:webHidden/>
          </w:rPr>
          <w:fldChar w:fldCharType="separate"/>
        </w:r>
        <w:r w:rsidR="004704E9">
          <w:rPr>
            <w:noProof/>
            <w:webHidden/>
          </w:rPr>
          <w:t>10</w:t>
        </w:r>
        <w:r>
          <w:rPr>
            <w:noProof/>
            <w:webHidden/>
          </w:rPr>
          <w:fldChar w:fldCharType="end"/>
        </w:r>
      </w:hyperlink>
    </w:p>
    <w:p w:rsidR="003741BF" w:rsidRDefault="00E20E03" w:rsidP="00676B8A">
      <w:pPr>
        <w:pStyle w:val="TOC3"/>
        <w:tabs>
          <w:tab w:val="left" w:pos="1320"/>
          <w:tab w:val="right" w:leader="dot" w:pos="9737"/>
        </w:tabs>
        <w:ind w:left="720"/>
        <w:rPr>
          <w:rFonts w:eastAsia="Times New Roman"/>
          <w:noProof/>
          <w:lang w:val="en-CA" w:eastAsia="en-CA"/>
        </w:rPr>
      </w:pPr>
      <w:hyperlink w:anchor="_Toc326160689" w:history="1">
        <w:r w:rsidR="003741BF" w:rsidRPr="00416B3E">
          <w:rPr>
            <w:rStyle w:val="Hyperlink"/>
            <w:noProof/>
            <w:lang w:eastAsia="de-DE"/>
          </w:rPr>
          <w:t>2.2.4</w:t>
        </w:r>
        <w:r w:rsidR="003741BF">
          <w:rPr>
            <w:rFonts w:eastAsia="Times New Roman"/>
            <w:noProof/>
            <w:lang w:val="en-CA" w:eastAsia="en-CA"/>
          </w:rPr>
          <w:tab/>
        </w:r>
        <w:r w:rsidR="003741BF" w:rsidRPr="00416B3E">
          <w:rPr>
            <w:rStyle w:val="Hyperlink"/>
            <w:noProof/>
            <w:lang w:eastAsia="de-DE"/>
          </w:rPr>
          <w:t>Limitations of controls</w:t>
        </w:r>
        <w:r w:rsidR="003741BF">
          <w:rPr>
            <w:noProof/>
            <w:webHidden/>
          </w:rPr>
          <w:tab/>
        </w:r>
        <w:r>
          <w:rPr>
            <w:noProof/>
            <w:webHidden/>
          </w:rPr>
          <w:fldChar w:fldCharType="begin"/>
        </w:r>
        <w:r w:rsidR="003741BF">
          <w:rPr>
            <w:noProof/>
            <w:webHidden/>
          </w:rPr>
          <w:instrText xml:space="preserve"> PAGEREF _Toc326160689 \h </w:instrText>
        </w:r>
        <w:r>
          <w:rPr>
            <w:noProof/>
            <w:webHidden/>
          </w:rPr>
        </w:r>
        <w:r>
          <w:rPr>
            <w:noProof/>
            <w:webHidden/>
          </w:rPr>
          <w:fldChar w:fldCharType="separate"/>
        </w:r>
        <w:r w:rsidR="004704E9">
          <w:rPr>
            <w:noProof/>
            <w:webHidden/>
          </w:rPr>
          <w:t>10</w:t>
        </w:r>
        <w:r>
          <w:rPr>
            <w:noProof/>
            <w:webHidden/>
          </w:rPr>
          <w:fldChar w:fldCharType="end"/>
        </w:r>
      </w:hyperlink>
    </w:p>
    <w:p w:rsidR="003741BF" w:rsidRDefault="00E20E03" w:rsidP="00676B8A">
      <w:pPr>
        <w:pStyle w:val="TOC3"/>
        <w:tabs>
          <w:tab w:val="left" w:pos="1320"/>
          <w:tab w:val="right" w:leader="dot" w:pos="9737"/>
        </w:tabs>
        <w:ind w:left="720"/>
        <w:rPr>
          <w:rFonts w:eastAsia="Times New Roman"/>
          <w:noProof/>
          <w:lang w:val="en-CA" w:eastAsia="en-CA"/>
        </w:rPr>
      </w:pPr>
      <w:hyperlink w:anchor="_Toc326160690" w:history="1">
        <w:r w:rsidR="003741BF" w:rsidRPr="00416B3E">
          <w:rPr>
            <w:rStyle w:val="Hyperlink"/>
            <w:noProof/>
            <w:lang w:eastAsia="de-DE"/>
          </w:rPr>
          <w:t>2.2.5</w:t>
        </w:r>
        <w:r w:rsidR="003741BF">
          <w:rPr>
            <w:rFonts w:eastAsia="Times New Roman"/>
            <w:noProof/>
            <w:lang w:val="en-CA" w:eastAsia="en-CA"/>
          </w:rPr>
          <w:tab/>
        </w:r>
        <w:r w:rsidR="003741BF" w:rsidRPr="00416B3E">
          <w:rPr>
            <w:rStyle w:val="Hyperlink"/>
            <w:noProof/>
            <w:lang w:eastAsia="de-DE"/>
          </w:rPr>
          <w:t>Import permit/license by relevant ministries before actual import</w:t>
        </w:r>
        <w:r w:rsidR="003741BF">
          <w:rPr>
            <w:noProof/>
            <w:webHidden/>
          </w:rPr>
          <w:tab/>
        </w:r>
        <w:r>
          <w:rPr>
            <w:noProof/>
            <w:webHidden/>
          </w:rPr>
          <w:fldChar w:fldCharType="begin"/>
        </w:r>
        <w:r w:rsidR="003741BF">
          <w:rPr>
            <w:noProof/>
            <w:webHidden/>
          </w:rPr>
          <w:instrText xml:space="preserve"> PAGEREF _Toc326160690 \h </w:instrText>
        </w:r>
        <w:r>
          <w:rPr>
            <w:noProof/>
            <w:webHidden/>
          </w:rPr>
        </w:r>
        <w:r>
          <w:rPr>
            <w:noProof/>
            <w:webHidden/>
          </w:rPr>
          <w:fldChar w:fldCharType="separate"/>
        </w:r>
        <w:r w:rsidR="004704E9">
          <w:rPr>
            <w:noProof/>
            <w:webHidden/>
          </w:rPr>
          <w:t>11</w:t>
        </w:r>
        <w:r>
          <w:rPr>
            <w:noProof/>
            <w:webHidden/>
          </w:rPr>
          <w:fldChar w:fldCharType="end"/>
        </w:r>
      </w:hyperlink>
    </w:p>
    <w:p w:rsidR="003741BF" w:rsidRDefault="00E20E03" w:rsidP="00A14F89">
      <w:pPr>
        <w:pStyle w:val="TOC1"/>
        <w:rPr>
          <w:rFonts w:eastAsia="Times New Roman" w:cs="Times New Roman"/>
          <w:lang w:val="en-CA" w:eastAsia="en-CA"/>
        </w:rPr>
      </w:pPr>
      <w:hyperlink w:anchor="_Toc326160691" w:history="1">
        <w:r w:rsidR="003741BF" w:rsidRPr="00416B3E">
          <w:rPr>
            <w:rStyle w:val="Hyperlink"/>
            <w:rFonts w:cs="Calibri"/>
          </w:rPr>
          <w:t>3</w:t>
        </w:r>
        <w:r w:rsidR="003741BF">
          <w:rPr>
            <w:rFonts w:eastAsia="Times New Roman" w:cs="Times New Roman"/>
            <w:lang w:val="en-CA" w:eastAsia="en-CA"/>
          </w:rPr>
          <w:tab/>
        </w:r>
        <w:r w:rsidR="003741BF" w:rsidRPr="00416B3E">
          <w:rPr>
            <w:rStyle w:val="Hyperlink"/>
            <w:rFonts w:cs="Calibri"/>
          </w:rPr>
          <w:t>Use of the supporting documents and database in the enforcement of legal obligations for POPs</w:t>
        </w:r>
        <w:r w:rsidR="003741BF">
          <w:rPr>
            <w:webHidden/>
          </w:rPr>
          <w:tab/>
        </w:r>
        <w:r>
          <w:rPr>
            <w:webHidden/>
          </w:rPr>
          <w:fldChar w:fldCharType="begin"/>
        </w:r>
        <w:r w:rsidR="003741BF">
          <w:rPr>
            <w:webHidden/>
          </w:rPr>
          <w:instrText xml:space="preserve"> PAGEREF _Toc326160691 \h </w:instrText>
        </w:r>
        <w:r>
          <w:rPr>
            <w:webHidden/>
          </w:rPr>
        </w:r>
        <w:r>
          <w:rPr>
            <w:webHidden/>
          </w:rPr>
          <w:fldChar w:fldCharType="separate"/>
        </w:r>
        <w:r w:rsidR="004704E9">
          <w:rPr>
            <w:webHidden/>
          </w:rPr>
          <w:t>12</w:t>
        </w:r>
        <w:r>
          <w:rPr>
            <w:webHidden/>
          </w:rPr>
          <w:fldChar w:fldCharType="end"/>
        </w:r>
      </w:hyperlink>
    </w:p>
    <w:p w:rsidR="003741BF" w:rsidRDefault="00E20E03">
      <w:pPr>
        <w:pStyle w:val="TOC2"/>
        <w:rPr>
          <w:rFonts w:eastAsia="Times New Roman"/>
          <w:noProof/>
          <w:lang w:val="en-CA" w:eastAsia="en-CA"/>
        </w:rPr>
      </w:pPr>
      <w:hyperlink w:anchor="_Toc326160692" w:history="1">
        <w:r w:rsidR="003741BF" w:rsidRPr="00416B3E">
          <w:rPr>
            <w:rStyle w:val="Hyperlink"/>
            <w:noProof/>
          </w:rPr>
          <w:t>3.1</w:t>
        </w:r>
        <w:r w:rsidR="003741BF">
          <w:rPr>
            <w:rFonts w:eastAsia="Times New Roman"/>
            <w:noProof/>
            <w:lang w:val="en-CA" w:eastAsia="en-CA"/>
          </w:rPr>
          <w:tab/>
        </w:r>
        <w:r w:rsidR="003741BF" w:rsidRPr="00416B3E">
          <w:rPr>
            <w:rStyle w:val="Hyperlink"/>
            <w:noProof/>
          </w:rPr>
          <w:t>Supporting documents and database for the import control of POPs</w:t>
        </w:r>
        <w:r w:rsidR="003741BF">
          <w:rPr>
            <w:noProof/>
            <w:webHidden/>
          </w:rPr>
          <w:tab/>
        </w:r>
        <w:r>
          <w:rPr>
            <w:noProof/>
            <w:webHidden/>
          </w:rPr>
          <w:fldChar w:fldCharType="begin"/>
        </w:r>
        <w:r w:rsidR="003741BF">
          <w:rPr>
            <w:noProof/>
            <w:webHidden/>
          </w:rPr>
          <w:instrText xml:space="preserve"> PAGEREF _Toc326160692 \h </w:instrText>
        </w:r>
        <w:r>
          <w:rPr>
            <w:noProof/>
            <w:webHidden/>
          </w:rPr>
        </w:r>
        <w:r>
          <w:rPr>
            <w:noProof/>
            <w:webHidden/>
          </w:rPr>
          <w:fldChar w:fldCharType="separate"/>
        </w:r>
        <w:r w:rsidR="004704E9">
          <w:rPr>
            <w:noProof/>
            <w:webHidden/>
          </w:rPr>
          <w:t>12</w:t>
        </w:r>
        <w:r>
          <w:rPr>
            <w:noProof/>
            <w:webHidden/>
          </w:rPr>
          <w:fldChar w:fldCharType="end"/>
        </w:r>
      </w:hyperlink>
    </w:p>
    <w:p w:rsidR="003741BF" w:rsidRDefault="00E20E03">
      <w:pPr>
        <w:pStyle w:val="TOC2"/>
        <w:rPr>
          <w:rFonts w:eastAsia="Times New Roman"/>
          <w:noProof/>
          <w:lang w:val="en-CA" w:eastAsia="en-CA"/>
        </w:rPr>
      </w:pPr>
      <w:hyperlink w:anchor="_Toc326160693" w:history="1">
        <w:r w:rsidR="003741BF" w:rsidRPr="00416B3E">
          <w:rPr>
            <w:rStyle w:val="Hyperlink"/>
            <w:noProof/>
          </w:rPr>
          <w:t>3.2</w:t>
        </w:r>
        <w:r w:rsidR="003741BF">
          <w:rPr>
            <w:rFonts w:eastAsia="Times New Roman"/>
            <w:noProof/>
            <w:lang w:val="en-CA" w:eastAsia="en-CA"/>
          </w:rPr>
          <w:tab/>
        </w:r>
        <w:r w:rsidR="003741BF" w:rsidRPr="00416B3E">
          <w:rPr>
            <w:rStyle w:val="Hyperlink"/>
            <w:noProof/>
          </w:rPr>
          <w:t>Legal trade</w:t>
        </w:r>
        <w:r w:rsidR="003741BF">
          <w:rPr>
            <w:noProof/>
            <w:webHidden/>
          </w:rPr>
          <w:tab/>
        </w:r>
        <w:r>
          <w:rPr>
            <w:noProof/>
            <w:webHidden/>
          </w:rPr>
          <w:fldChar w:fldCharType="begin"/>
        </w:r>
        <w:r w:rsidR="003741BF">
          <w:rPr>
            <w:noProof/>
            <w:webHidden/>
          </w:rPr>
          <w:instrText xml:space="preserve"> PAGEREF _Toc326160693 \h </w:instrText>
        </w:r>
        <w:r>
          <w:rPr>
            <w:noProof/>
            <w:webHidden/>
          </w:rPr>
        </w:r>
        <w:r>
          <w:rPr>
            <w:noProof/>
            <w:webHidden/>
          </w:rPr>
          <w:fldChar w:fldCharType="separate"/>
        </w:r>
        <w:r w:rsidR="004704E9">
          <w:rPr>
            <w:noProof/>
            <w:webHidden/>
          </w:rPr>
          <w:t>12</w:t>
        </w:r>
        <w:r>
          <w:rPr>
            <w:noProof/>
            <w:webHidden/>
          </w:rPr>
          <w:fldChar w:fldCharType="end"/>
        </w:r>
      </w:hyperlink>
    </w:p>
    <w:p w:rsidR="003741BF" w:rsidRDefault="00E20E03">
      <w:pPr>
        <w:pStyle w:val="TOC2"/>
        <w:rPr>
          <w:rFonts w:eastAsia="Times New Roman"/>
          <w:noProof/>
          <w:lang w:val="en-CA" w:eastAsia="en-CA"/>
        </w:rPr>
      </w:pPr>
      <w:hyperlink w:anchor="_Toc326160694" w:history="1">
        <w:r w:rsidR="003741BF" w:rsidRPr="00416B3E">
          <w:rPr>
            <w:rStyle w:val="Hyperlink"/>
            <w:noProof/>
          </w:rPr>
          <w:t>3.3</w:t>
        </w:r>
        <w:r w:rsidR="003741BF">
          <w:rPr>
            <w:rFonts w:eastAsia="Times New Roman"/>
            <w:noProof/>
            <w:lang w:val="en-CA" w:eastAsia="en-CA"/>
          </w:rPr>
          <w:tab/>
        </w:r>
        <w:r w:rsidR="003741BF" w:rsidRPr="00416B3E">
          <w:rPr>
            <w:rStyle w:val="Hyperlink"/>
            <w:noProof/>
          </w:rPr>
          <w:t>Potential for illegal trade</w:t>
        </w:r>
        <w:r w:rsidR="003741BF">
          <w:rPr>
            <w:noProof/>
            <w:webHidden/>
          </w:rPr>
          <w:tab/>
        </w:r>
        <w:r>
          <w:rPr>
            <w:noProof/>
            <w:webHidden/>
          </w:rPr>
          <w:fldChar w:fldCharType="begin"/>
        </w:r>
        <w:r w:rsidR="003741BF">
          <w:rPr>
            <w:noProof/>
            <w:webHidden/>
          </w:rPr>
          <w:instrText xml:space="preserve"> PAGEREF _Toc326160694 \h </w:instrText>
        </w:r>
        <w:r>
          <w:rPr>
            <w:noProof/>
            <w:webHidden/>
          </w:rPr>
        </w:r>
        <w:r>
          <w:rPr>
            <w:noProof/>
            <w:webHidden/>
          </w:rPr>
          <w:fldChar w:fldCharType="separate"/>
        </w:r>
        <w:r w:rsidR="004704E9">
          <w:rPr>
            <w:noProof/>
            <w:webHidden/>
          </w:rPr>
          <w:t>13</w:t>
        </w:r>
        <w:r>
          <w:rPr>
            <w:noProof/>
            <w:webHidden/>
          </w:rPr>
          <w:fldChar w:fldCharType="end"/>
        </w:r>
      </w:hyperlink>
    </w:p>
    <w:p w:rsidR="003741BF" w:rsidRDefault="00E20E03">
      <w:pPr>
        <w:pStyle w:val="TOC2"/>
        <w:rPr>
          <w:rFonts w:eastAsia="Times New Roman"/>
          <w:noProof/>
          <w:lang w:val="en-CA" w:eastAsia="en-CA"/>
        </w:rPr>
      </w:pPr>
      <w:hyperlink w:anchor="_Toc326160695" w:history="1">
        <w:r w:rsidR="003741BF" w:rsidRPr="00416B3E">
          <w:rPr>
            <w:rStyle w:val="Hyperlink"/>
            <w:noProof/>
          </w:rPr>
          <w:t>3.4</w:t>
        </w:r>
        <w:r w:rsidR="003741BF">
          <w:rPr>
            <w:rFonts w:eastAsia="Times New Roman"/>
            <w:noProof/>
            <w:lang w:val="en-CA" w:eastAsia="en-CA"/>
          </w:rPr>
          <w:tab/>
        </w:r>
        <w:r w:rsidR="003741BF" w:rsidRPr="00416B3E">
          <w:rPr>
            <w:rStyle w:val="Hyperlink"/>
            <w:noProof/>
          </w:rPr>
          <w:t xml:space="preserve">Use of the database for import </w:t>
        </w:r>
        <w:r w:rsidR="00D87AA2">
          <w:rPr>
            <w:rStyle w:val="Hyperlink"/>
            <w:noProof/>
          </w:rPr>
          <w:t xml:space="preserve">and export </w:t>
        </w:r>
        <w:r w:rsidR="003741BF" w:rsidRPr="00416B3E">
          <w:rPr>
            <w:rStyle w:val="Hyperlink"/>
            <w:noProof/>
          </w:rPr>
          <w:t>control</w:t>
        </w:r>
        <w:r w:rsidR="003741BF">
          <w:rPr>
            <w:noProof/>
            <w:webHidden/>
          </w:rPr>
          <w:tab/>
        </w:r>
        <w:r>
          <w:rPr>
            <w:noProof/>
            <w:webHidden/>
          </w:rPr>
          <w:fldChar w:fldCharType="begin"/>
        </w:r>
        <w:r w:rsidR="003741BF">
          <w:rPr>
            <w:noProof/>
            <w:webHidden/>
          </w:rPr>
          <w:instrText xml:space="preserve"> PAGEREF _Toc326160695 \h </w:instrText>
        </w:r>
        <w:r>
          <w:rPr>
            <w:noProof/>
            <w:webHidden/>
          </w:rPr>
        </w:r>
        <w:r>
          <w:rPr>
            <w:noProof/>
            <w:webHidden/>
          </w:rPr>
          <w:fldChar w:fldCharType="separate"/>
        </w:r>
        <w:r w:rsidR="004704E9">
          <w:rPr>
            <w:noProof/>
            <w:webHidden/>
          </w:rPr>
          <w:t>13</w:t>
        </w:r>
        <w:r>
          <w:rPr>
            <w:noProof/>
            <w:webHidden/>
          </w:rPr>
          <w:fldChar w:fldCharType="end"/>
        </w:r>
      </w:hyperlink>
    </w:p>
    <w:p w:rsidR="003741BF" w:rsidRDefault="00E20E03" w:rsidP="003F106A">
      <w:pPr>
        <w:pStyle w:val="TOC3"/>
        <w:tabs>
          <w:tab w:val="left" w:pos="1320"/>
          <w:tab w:val="right" w:leader="dot" w:pos="9737"/>
        </w:tabs>
        <w:ind w:left="720"/>
        <w:rPr>
          <w:rFonts w:eastAsia="Times New Roman"/>
          <w:noProof/>
          <w:lang w:val="en-CA" w:eastAsia="en-CA"/>
        </w:rPr>
      </w:pPr>
      <w:hyperlink w:anchor="_Toc326160696" w:history="1">
        <w:r w:rsidR="003741BF" w:rsidRPr="00416B3E">
          <w:rPr>
            <w:rStyle w:val="Hyperlink"/>
            <w:noProof/>
          </w:rPr>
          <w:t>3.4.1</w:t>
        </w:r>
        <w:r w:rsidR="003741BF">
          <w:rPr>
            <w:rFonts w:eastAsia="Times New Roman"/>
            <w:noProof/>
            <w:lang w:val="en-CA" w:eastAsia="en-CA"/>
          </w:rPr>
          <w:tab/>
        </w:r>
        <w:r w:rsidR="003741BF" w:rsidRPr="00416B3E">
          <w:rPr>
            <w:rStyle w:val="Hyperlink"/>
            <w:noProof/>
          </w:rPr>
          <w:t>Customs authorities</w:t>
        </w:r>
        <w:r w:rsidR="003741BF">
          <w:rPr>
            <w:noProof/>
            <w:webHidden/>
          </w:rPr>
          <w:tab/>
        </w:r>
        <w:r>
          <w:rPr>
            <w:noProof/>
            <w:webHidden/>
          </w:rPr>
          <w:fldChar w:fldCharType="begin"/>
        </w:r>
        <w:r w:rsidR="003741BF">
          <w:rPr>
            <w:noProof/>
            <w:webHidden/>
          </w:rPr>
          <w:instrText xml:space="preserve"> PAGEREF _Toc326160696 \h </w:instrText>
        </w:r>
        <w:r>
          <w:rPr>
            <w:noProof/>
            <w:webHidden/>
          </w:rPr>
        </w:r>
        <w:r>
          <w:rPr>
            <w:noProof/>
            <w:webHidden/>
          </w:rPr>
          <w:fldChar w:fldCharType="separate"/>
        </w:r>
        <w:r w:rsidR="004704E9">
          <w:rPr>
            <w:noProof/>
            <w:webHidden/>
          </w:rPr>
          <w:t>13</w:t>
        </w:r>
        <w:r>
          <w:rPr>
            <w:noProof/>
            <w:webHidden/>
          </w:rPr>
          <w:fldChar w:fldCharType="end"/>
        </w:r>
      </w:hyperlink>
    </w:p>
    <w:p w:rsidR="003741BF" w:rsidRDefault="00E20E03" w:rsidP="003F106A">
      <w:pPr>
        <w:pStyle w:val="TOC3"/>
        <w:tabs>
          <w:tab w:val="left" w:pos="1320"/>
          <w:tab w:val="right" w:leader="dot" w:pos="9737"/>
        </w:tabs>
        <w:ind w:left="720"/>
        <w:rPr>
          <w:rFonts w:eastAsia="Times New Roman"/>
          <w:noProof/>
          <w:lang w:val="en-CA" w:eastAsia="en-CA"/>
        </w:rPr>
      </w:pPr>
      <w:hyperlink w:anchor="_Toc326160697" w:history="1">
        <w:r w:rsidR="003741BF" w:rsidRPr="00416B3E">
          <w:rPr>
            <w:rStyle w:val="Hyperlink"/>
            <w:noProof/>
            <w:lang w:eastAsia="de-DE"/>
          </w:rPr>
          <w:t>3.4.2</w:t>
        </w:r>
        <w:r w:rsidR="003741BF">
          <w:rPr>
            <w:rFonts w:eastAsia="Times New Roman"/>
            <w:noProof/>
            <w:lang w:val="en-CA" w:eastAsia="en-CA"/>
          </w:rPr>
          <w:tab/>
        </w:r>
        <w:r w:rsidR="003741BF" w:rsidRPr="00416B3E">
          <w:rPr>
            <w:rStyle w:val="Hyperlink"/>
            <w:noProof/>
          </w:rPr>
          <w:t>Companies</w:t>
        </w:r>
        <w:r w:rsidR="003741BF">
          <w:rPr>
            <w:noProof/>
            <w:webHidden/>
          </w:rPr>
          <w:tab/>
        </w:r>
        <w:r>
          <w:rPr>
            <w:noProof/>
            <w:webHidden/>
          </w:rPr>
          <w:fldChar w:fldCharType="begin"/>
        </w:r>
        <w:r w:rsidR="003741BF">
          <w:rPr>
            <w:noProof/>
            <w:webHidden/>
          </w:rPr>
          <w:instrText xml:space="preserve"> PAGEREF _Toc326160697 \h </w:instrText>
        </w:r>
        <w:r>
          <w:rPr>
            <w:noProof/>
            <w:webHidden/>
          </w:rPr>
        </w:r>
        <w:r>
          <w:rPr>
            <w:noProof/>
            <w:webHidden/>
          </w:rPr>
          <w:fldChar w:fldCharType="separate"/>
        </w:r>
        <w:r w:rsidR="004704E9">
          <w:rPr>
            <w:noProof/>
            <w:webHidden/>
          </w:rPr>
          <w:t>14</w:t>
        </w:r>
        <w:r>
          <w:rPr>
            <w:noProof/>
            <w:webHidden/>
          </w:rPr>
          <w:fldChar w:fldCharType="end"/>
        </w:r>
      </w:hyperlink>
    </w:p>
    <w:p w:rsidR="003741BF" w:rsidRDefault="00E20E03" w:rsidP="003F106A">
      <w:pPr>
        <w:pStyle w:val="TOC3"/>
        <w:tabs>
          <w:tab w:val="left" w:pos="1320"/>
          <w:tab w:val="right" w:leader="dot" w:pos="9737"/>
        </w:tabs>
        <w:ind w:left="720"/>
        <w:rPr>
          <w:rFonts w:eastAsia="Times New Roman"/>
          <w:noProof/>
          <w:lang w:val="en-CA" w:eastAsia="en-CA"/>
        </w:rPr>
      </w:pPr>
      <w:hyperlink w:anchor="_Toc326160698" w:history="1">
        <w:r w:rsidR="003741BF" w:rsidRPr="00416B3E">
          <w:rPr>
            <w:rStyle w:val="Hyperlink"/>
            <w:noProof/>
          </w:rPr>
          <w:t>3.4.3</w:t>
        </w:r>
        <w:r w:rsidR="003741BF">
          <w:rPr>
            <w:rFonts w:eastAsia="Times New Roman"/>
            <w:noProof/>
            <w:lang w:val="en-CA" w:eastAsia="en-CA"/>
          </w:rPr>
          <w:tab/>
        </w:r>
        <w:r w:rsidR="003741BF" w:rsidRPr="00416B3E">
          <w:rPr>
            <w:rStyle w:val="Hyperlink"/>
            <w:noProof/>
          </w:rPr>
          <w:t>Local control authorities and national government authorities</w:t>
        </w:r>
        <w:r w:rsidR="003741BF">
          <w:rPr>
            <w:noProof/>
            <w:webHidden/>
          </w:rPr>
          <w:tab/>
        </w:r>
        <w:r>
          <w:rPr>
            <w:noProof/>
            <w:webHidden/>
          </w:rPr>
          <w:fldChar w:fldCharType="begin"/>
        </w:r>
        <w:r w:rsidR="003741BF">
          <w:rPr>
            <w:noProof/>
            <w:webHidden/>
          </w:rPr>
          <w:instrText xml:space="preserve"> PAGEREF _Toc326160698 \h </w:instrText>
        </w:r>
        <w:r>
          <w:rPr>
            <w:noProof/>
            <w:webHidden/>
          </w:rPr>
        </w:r>
        <w:r>
          <w:rPr>
            <w:noProof/>
            <w:webHidden/>
          </w:rPr>
          <w:fldChar w:fldCharType="separate"/>
        </w:r>
        <w:r w:rsidR="004704E9">
          <w:rPr>
            <w:noProof/>
            <w:webHidden/>
          </w:rPr>
          <w:t>14</w:t>
        </w:r>
        <w:r>
          <w:rPr>
            <w:noProof/>
            <w:webHidden/>
          </w:rPr>
          <w:fldChar w:fldCharType="end"/>
        </w:r>
      </w:hyperlink>
    </w:p>
    <w:p w:rsidR="003741BF" w:rsidRPr="00703E0E" w:rsidRDefault="00E20E03">
      <w:r w:rsidRPr="00703E0E">
        <w:fldChar w:fldCharType="end"/>
      </w:r>
    </w:p>
    <w:p w:rsidR="003741BF" w:rsidRPr="00703E0E" w:rsidRDefault="003741BF" w:rsidP="007C2795">
      <w:pPr>
        <w:pStyle w:val="TOCHeading"/>
        <w:ind w:left="450"/>
        <w:rPr>
          <w:rFonts w:eastAsia="Times New Roman"/>
          <w:lang w:val="en-GB"/>
        </w:rPr>
      </w:pPr>
      <w:r w:rsidRPr="00703E0E">
        <w:rPr>
          <w:rFonts w:ascii="Times New Roman" w:hAnsi="Times New Roman"/>
          <w:b w:val="0"/>
          <w:lang w:val="en-GB"/>
        </w:rPr>
        <w:br/>
      </w:r>
    </w:p>
    <w:p w:rsidR="003741BF" w:rsidRPr="00703E0E" w:rsidRDefault="003741BF">
      <w:pPr>
        <w:rPr>
          <w:rFonts w:ascii="Times New Roman" w:hAnsi="Times New Roman"/>
          <w:b/>
          <w:sz w:val="24"/>
          <w:szCs w:val="24"/>
        </w:rPr>
      </w:pPr>
    </w:p>
    <w:p w:rsidR="003741BF" w:rsidRPr="00703E0E" w:rsidRDefault="003741BF" w:rsidP="00BD2E28">
      <w:pPr>
        <w:pStyle w:val="Heading1"/>
        <w:numPr>
          <w:ilvl w:val="0"/>
          <w:numId w:val="0"/>
        </w:numPr>
        <w:ind w:left="432" w:hanging="432"/>
        <w:sectPr w:rsidR="003741BF" w:rsidRPr="00703E0E" w:rsidSect="000C453B">
          <w:headerReference w:type="even" r:id="rId10"/>
          <w:headerReference w:type="default" r:id="rId11"/>
          <w:footerReference w:type="even" r:id="rId12"/>
          <w:footerReference w:type="default" r:id="rId13"/>
          <w:headerReference w:type="first" r:id="rId14"/>
          <w:footerReference w:type="first" r:id="rId15"/>
          <w:pgSz w:w="11907" w:h="16840" w:code="9"/>
          <w:pgMar w:top="1440" w:right="1080" w:bottom="1440" w:left="1080" w:header="720" w:footer="720" w:gutter="0"/>
          <w:pgNumType w:start="1"/>
          <w:cols w:space="720"/>
          <w:titlePg/>
          <w:docGrid w:linePitch="360"/>
        </w:sectPr>
      </w:pPr>
      <w:bookmarkStart w:id="0" w:name="_Toc323042124"/>
    </w:p>
    <w:p w:rsidR="003741BF" w:rsidRPr="00703E0E" w:rsidRDefault="003741BF" w:rsidP="00BD2E28">
      <w:pPr>
        <w:pStyle w:val="Heading1"/>
        <w:numPr>
          <w:ilvl w:val="0"/>
          <w:numId w:val="0"/>
        </w:numPr>
        <w:ind w:left="432" w:hanging="432"/>
        <w:rPr>
          <w:rFonts w:ascii="Times New Roman" w:hAnsi="Times New Roman"/>
          <w:color w:val="000000"/>
          <w:sz w:val="24"/>
          <w:szCs w:val="24"/>
        </w:rPr>
      </w:pPr>
      <w:bookmarkStart w:id="1" w:name="_Toc326160676"/>
      <w:r w:rsidRPr="00703E0E">
        <w:lastRenderedPageBreak/>
        <w:t>Abbreviations</w:t>
      </w:r>
      <w:bookmarkEnd w:id="0"/>
      <w:r w:rsidRPr="00703E0E">
        <w:t xml:space="preserve"> and acronyms</w:t>
      </w:r>
      <w:bookmarkEnd w:id="1"/>
    </w:p>
    <w:p w:rsidR="003741BF" w:rsidRPr="00703E0E" w:rsidRDefault="003741BF" w:rsidP="001371F4">
      <w:pPr>
        <w:ind w:left="990" w:hanging="990"/>
      </w:pPr>
      <w:r w:rsidRPr="00703E0E">
        <w:rPr>
          <w:b/>
        </w:rPr>
        <w:t>CAS</w:t>
      </w:r>
      <w:r w:rsidRPr="00703E0E">
        <w:tab/>
        <w:t>Chemical Abstract Service</w:t>
      </w:r>
    </w:p>
    <w:p w:rsidR="003741BF" w:rsidRPr="00703E0E" w:rsidRDefault="003741BF" w:rsidP="001371F4">
      <w:pPr>
        <w:ind w:left="990" w:hanging="990"/>
      </w:pPr>
      <w:r w:rsidRPr="00703E0E">
        <w:rPr>
          <w:b/>
        </w:rPr>
        <w:t>DGD</w:t>
      </w:r>
      <w:r w:rsidRPr="00703E0E">
        <w:tab/>
        <w:t>Decision Guidance Document</w:t>
      </w:r>
    </w:p>
    <w:p w:rsidR="003741BF" w:rsidRPr="00703E0E" w:rsidRDefault="003741BF" w:rsidP="001371F4">
      <w:pPr>
        <w:ind w:left="990" w:hanging="990"/>
      </w:pPr>
      <w:r w:rsidRPr="00703E0E">
        <w:rPr>
          <w:b/>
        </w:rPr>
        <w:t>GHS</w:t>
      </w:r>
      <w:r w:rsidRPr="00703E0E">
        <w:tab/>
        <w:t xml:space="preserve">Globally Harmonized System </w:t>
      </w:r>
      <w:r>
        <w:t>of</w:t>
      </w:r>
      <w:r w:rsidRPr="00703E0E">
        <w:t xml:space="preserve"> Classification and Labelling</w:t>
      </w:r>
      <w:r>
        <w:t xml:space="preserve"> of Chemicals</w:t>
      </w:r>
    </w:p>
    <w:p w:rsidR="00C46DB5" w:rsidRPr="001D6A4B" w:rsidRDefault="00C46DB5" w:rsidP="001371F4">
      <w:pPr>
        <w:ind w:left="990" w:hanging="990"/>
      </w:pPr>
      <w:r>
        <w:rPr>
          <w:b/>
        </w:rPr>
        <w:t>HS</w:t>
      </w:r>
      <w:r>
        <w:rPr>
          <w:b/>
        </w:rPr>
        <w:tab/>
      </w:r>
      <w:r w:rsidR="001D6A4B" w:rsidRPr="001D6A4B">
        <w:t>Harmonized Commodity Description and Coding System (</w:t>
      </w:r>
      <w:r w:rsidRPr="001D6A4B">
        <w:t xml:space="preserve">Harmonized </w:t>
      </w:r>
      <w:r w:rsidR="002D3A57" w:rsidRPr="001D6A4B">
        <w:t>S</w:t>
      </w:r>
      <w:r w:rsidRPr="001D6A4B">
        <w:t>ystem</w:t>
      </w:r>
      <w:r w:rsidR="001D6A4B" w:rsidRPr="001D6A4B">
        <w:t>)</w:t>
      </w:r>
    </w:p>
    <w:p w:rsidR="003741BF" w:rsidRPr="00703E0E" w:rsidRDefault="003741BF" w:rsidP="001371F4">
      <w:pPr>
        <w:ind w:left="990" w:hanging="990"/>
      </w:pPr>
      <w:r w:rsidRPr="00703E0E">
        <w:rPr>
          <w:b/>
        </w:rPr>
        <w:t>IUPAC</w:t>
      </w:r>
      <w:r w:rsidRPr="00703E0E">
        <w:tab/>
        <w:t>International Union of Pure and Applied Chemistry</w:t>
      </w:r>
    </w:p>
    <w:p w:rsidR="003741BF" w:rsidRPr="00703E0E" w:rsidRDefault="003741BF" w:rsidP="001371F4">
      <w:pPr>
        <w:ind w:left="990" w:hanging="990"/>
      </w:pPr>
      <w:r w:rsidRPr="00703E0E">
        <w:rPr>
          <w:b/>
        </w:rPr>
        <w:t>MEA</w:t>
      </w:r>
      <w:r w:rsidRPr="00703E0E">
        <w:tab/>
      </w:r>
      <w:r>
        <w:t>m</w:t>
      </w:r>
      <w:r w:rsidRPr="00703E0E">
        <w:t xml:space="preserve">ultilateral </w:t>
      </w:r>
      <w:r>
        <w:t>e</w:t>
      </w:r>
      <w:r w:rsidRPr="00703E0E">
        <w:t xml:space="preserve">nvironmental </w:t>
      </w:r>
      <w:r>
        <w:t>a</w:t>
      </w:r>
      <w:r w:rsidRPr="00703E0E">
        <w:t>greement</w:t>
      </w:r>
    </w:p>
    <w:p w:rsidR="003741BF" w:rsidRPr="00703E0E" w:rsidRDefault="003741BF" w:rsidP="001371F4">
      <w:pPr>
        <w:ind w:left="990" w:hanging="990"/>
      </w:pPr>
      <w:r w:rsidRPr="00703E0E">
        <w:rPr>
          <w:b/>
        </w:rPr>
        <w:t>PFOS</w:t>
      </w:r>
      <w:r w:rsidRPr="00703E0E">
        <w:tab/>
      </w:r>
      <w:r>
        <w:t>p</w:t>
      </w:r>
      <w:r w:rsidRPr="00703E0E">
        <w:t>erfluorooctane sulfonic acid</w:t>
      </w:r>
    </w:p>
    <w:p w:rsidR="003741BF" w:rsidRPr="00703E0E" w:rsidRDefault="003741BF" w:rsidP="001371F4">
      <w:pPr>
        <w:ind w:left="990" w:hanging="990"/>
      </w:pPr>
      <w:r w:rsidRPr="00703E0E">
        <w:rPr>
          <w:b/>
          <w:bCs/>
        </w:rPr>
        <w:t>PFOSF</w:t>
      </w:r>
      <w:r w:rsidRPr="00703E0E">
        <w:rPr>
          <w:bCs/>
        </w:rPr>
        <w:tab/>
      </w:r>
      <w:r>
        <w:rPr>
          <w:bCs/>
        </w:rPr>
        <w:t>p</w:t>
      </w:r>
      <w:r w:rsidRPr="00703E0E">
        <w:rPr>
          <w:bCs/>
        </w:rPr>
        <w:t>erfluorooctane sulfonyl fluoride</w:t>
      </w:r>
    </w:p>
    <w:p w:rsidR="003741BF" w:rsidRPr="00703E0E" w:rsidRDefault="003741BF" w:rsidP="001371F4">
      <w:pPr>
        <w:ind w:left="990" w:hanging="990"/>
      </w:pPr>
      <w:r w:rsidRPr="00703E0E">
        <w:rPr>
          <w:b/>
        </w:rPr>
        <w:t>PIC</w:t>
      </w:r>
      <w:r w:rsidRPr="00703E0E">
        <w:tab/>
        <w:t>Prior Informed Consent</w:t>
      </w:r>
    </w:p>
    <w:p w:rsidR="003741BF" w:rsidRPr="00703E0E" w:rsidRDefault="003741BF" w:rsidP="001371F4">
      <w:pPr>
        <w:ind w:left="990" w:hanging="990"/>
        <w:jc w:val="left"/>
      </w:pPr>
      <w:r w:rsidRPr="00703E0E">
        <w:rPr>
          <w:b/>
        </w:rPr>
        <w:t>POPs</w:t>
      </w:r>
      <w:r w:rsidRPr="00703E0E">
        <w:tab/>
      </w:r>
      <w:r>
        <w:t>p</w:t>
      </w:r>
      <w:r w:rsidRPr="00703E0E">
        <w:t xml:space="preserve">ersistent </w:t>
      </w:r>
      <w:r>
        <w:t>o</w:t>
      </w:r>
      <w:r w:rsidRPr="00703E0E">
        <w:t xml:space="preserve">rganic </w:t>
      </w:r>
      <w:r>
        <w:t>p</w:t>
      </w:r>
      <w:r w:rsidRPr="00703E0E">
        <w:t>ollutants</w:t>
      </w:r>
    </w:p>
    <w:p w:rsidR="003741BF" w:rsidRPr="00703E0E" w:rsidRDefault="003741BF" w:rsidP="001371F4">
      <w:pPr>
        <w:ind w:left="990" w:hanging="990"/>
      </w:pPr>
      <w:r w:rsidRPr="00703E0E">
        <w:rPr>
          <w:b/>
        </w:rPr>
        <w:t>UN</w:t>
      </w:r>
      <w:r>
        <w:rPr>
          <w:b/>
        </w:rPr>
        <w:t>R</w:t>
      </w:r>
      <w:r w:rsidRPr="00703E0E">
        <w:rPr>
          <w:b/>
        </w:rPr>
        <w:t>TGD</w:t>
      </w:r>
      <w:r w:rsidRPr="00703E0E">
        <w:t xml:space="preserve"> </w:t>
      </w:r>
      <w:r>
        <w:tab/>
      </w:r>
      <w:r w:rsidRPr="00703E0E">
        <w:t>U</w:t>
      </w:r>
      <w:r>
        <w:t xml:space="preserve">nited </w:t>
      </w:r>
      <w:r w:rsidRPr="00703E0E">
        <w:t>N</w:t>
      </w:r>
      <w:r>
        <w:t>ations</w:t>
      </w:r>
      <w:r w:rsidRPr="00703E0E">
        <w:t xml:space="preserve"> Recommendation</w:t>
      </w:r>
      <w:r>
        <w:t>s</w:t>
      </w:r>
      <w:r w:rsidRPr="00703E0E">
        <w:t xml:space="preserve"> on the Transport of Dangerous Goods</w:t>
      </w:r>
      <w:r w:rsidR="00CE3BB8">
        <w:t xml:space="preserve"> (orange book)</w:t>
      </w:r>
      <w:r>
        <w:t xml:space="preserve"> </w:t>
      </w:r>
    </w:p>
    <w:p w:rsidR="003741BF" w:rsidRPr="00703E0E" w:rsidRDefault="003741BF" w:rsidP="001371F4">
      <w:pPr>
        <w:ind w:left="990" w:hanging="990"/>
        <w:jc w:val="left"/>
      </w:pPr>
      <w:r w:rsidRPr="00703E0E">
        <w:rPr>
          <w:b/>
        </w:rPr>
        <w:t>WCO</w:t>
      </w:r>
      <w:r w:rsidRPr="00703E0E">
        <w:rPr>
          <w:b/>
        </w:rPr>
        <w:tab/>
      </w:r>
      <w:r w:rsidRPr="00703E0E">
        <w:t>World Customs Organization</w:t>
      </w:r>
    </w:p>
    <w:p w:rsidR="003741BF" w:rsidRPr="00703E0E" w:rsidRDefault="003741BF" w:rsidP="00BD2E28">
      <w:pPr>
        <w:jc w:val="left"/>
        <w:sectPr w:rsidR="003741BF" w:rsidRPr="00703E0E" w:rsidSect="000C453B">
          <w:headerReference w:type="even" r:id="rId16"/>
          <w:headerReference w:type="default" r:id="rId17"/>
          <w:headerReference w:type="first" r:id="rId18"/>
          <w:pgSz w:w="11907" w:h="16840" w:code="9"/>
          <w:pgMar w:top="1440" w:right="1080" w:bottom="1440" w:left="1080" w:header="720" w:footer="720" w:gutter="0"/>
          <w:pgNumType w:start="1"/>
          <w:cols w:space="720"/>
          <w:titlePg/>
          <w:docGrid w:linePitch="360"/>
        </w:sectPr>
      </w:pPr>
    </w:p>
    <w:p w:rsidR="003741BF" w:rsidRPr="00703E0E" w:rsidRDefault="003741BF" w:rsidP="007C2795">
      <w:pPr>
        <w:pStyle w:val="Heading1"/>
        <w:numPr>
          <w:ilvl w:val="0"/>
          <w:numId w:val="4"/>
        </w:numPr>
      </w:pPr>
      <w:bookmarkStart w:id="2" w:name="_Toc326160677"/>
      <w:r w:rsidRPr="00703E0E">
        <w:lastRenderedPageBreak/>
        <w:t xml:space="preserve">Overview of </w:t>
      </w:r>
      <w:r w:rsidRPr="00703E0E">
        <w:rPr>
          <w:szCs w:val="24"/>
        </w:rPr>
        <w:t>this</w:t>
      </w:r>
      <w:r w:rsidRPr="00703E0E">
        <w:t xml:space="preserve"> guidance document</w:t>
      </w:r>
      <w:bookmarkEnd w:id="2"/>
    </w:p>
    <w:p w:rsidR="003741BF" w:rsidRDefault="003741BF">
      <w:pPr>
        <w:pStyle w:val="Heading2"/>
      </w:pPr>
      <w:bookmarkStart w:id="3" w:name="_Toc326160678"/>
      <w:r w:rsidRPr="00703E0E">
        <w:t>Objective</w:t>
      </w:r>
      <w:bookmarkEnd w:id="3"/>
    </w:p>
    <w:p w:rsidR="003741BF" w:rsidRPr="00703E0E" w:rsidRDefault="003741BF" w:rsidP="00D42A56">
      <w:r w:rsidRPr="00703E0E">
        <w:t xml:space="preserve">In general, the Stockholm Convention prohibits </w:t>
      </w:r>
      <w:r w:rsidR="006E7420">
        <w:t xml:space="preserve">or restricts </w:t>
      </w:r>
      <w:r w:rsidRPr="00703E0E">
        <w:t xml:space="preserve">the production and use of </w:t>
      </w:r>
      <w:r w:rsidR="006E7420">
        <w:t xml:space="preserve">the </w:t>
      </w:r>
      <w:r w:rsidRPr="00703E0E">
        <w:t>persistent organic pollutants (POPs)</w:t>
      </w:r>
      <w:r w:rsidR="006E7420">
        <w:t xml:space="preserve"> that are listed in the Annexes to the Convention</w:t>
      </w:r>
      <w:r w:rsidR="00B45567">
        <w:t xml:space="preserve">. As far as trade is concerned, the provisions of the Convention require Parties to </w:t>
      </w:r>
      <w:r w:rsidR="001E3F51">
        <w:t xml:space="preserve">prohibit and/or take </w:t>
      </w:r>
      <w:r w:rsidR="00717FA3">
        <w:t>the appropriate</w:t>
      </w:r>
      <w:r w:rsidR="001E3F51">
        <w:t xml:space="preserve"> legal and administrative</w:t>
      </w:r>
      <w:r w:rsidR="00717FA3">
        <w:t xml:space="preserve"> measures</w:t>
      </w:r>
      <w:r w:rsidR="00DF1918">
        <w:t xml:space="preserve"> ensuring</w:t>
      </w:r>
      <w:r w:rsidR="00717FA3">
        <w:t xml:space="preserve"> that a chemical is imported or </w:t>
      </w:r>
      <w:r w:rsidR="001E3F51">
        <w:t>ex</w:t>
      </w:r>
      <w:r w:rsidR="00717FA3">
        <w:t>ported for the purpose of environmentally sound disposal</w:t>
      </w:r>
      <w:r w:rsidR="001E3F51">
        <w:t xml:space="preserve"> or for a use or p</w:t>
      </w:r>
      <w:r w:rsidR="00CE3BB8">
        <w:t xml:space="preserve">urpose which is permitted for </w:t>
      </w:r>
      <w:r w:rsidR="001E3F51">
        <w:t>Part</w:t>
      </w:r>
      <w:r w:rsidR="00CE3BB8">
        <w:t>i</w:t>
      </w:r>
      <w:r w:rsidR="00EF2B79">
        <w:t>es involved</w:t>
      </w:r>
      <w:r w:rsidR="000A7792">
        <w:t>.</w:t>
      </w:r>
      <w:r w:rsidRPr="00703E0E">
        <w:t xml:space="preserve"> The Convention, however, also contains specific mandates for certain POPs when </w:t>
      </w:r>
      <w:r w:rsidR="006E7420">
        <w:t xml:space="preserve">produced or </w:t>
      </w:r>
      <w:r w:rsidRPr="00703E0E">
        <w:t xml:space="preserve">used in specific applications by Parties that have registered for such </w:t>
      </w:r>
      <w:r w:rsidR="00B45567">
        <w:t xml:space="preserve">activities of production or </w:t>
      </w:r>
      <w:r w:rsidRPr="00703E0E">
        <w:t>use</w:t>
      </w:r>
      <w:r w:rsidR="00B45567">
        <w:t xml:space="preserve">, </w:t>
      </w:r>
      <w:r w:rsidR="00DF1918">
        <w:t>through</w:t>
      </w:r>
      <w:r w:rsidR="00B45567">
        <w:t xml:space="preserve"> a regime of “specific exemptions” or “acceptable purposes”</w:t>
      </w:r>
      <w:r w:rsidRPr="00703E0E">
        <w:t xml:space="preserve">. This adds complexity to understanding which POPs can be </w:t>
      </w:r>
      <w:r w:rsidR="001E3F51">
        <w:t>imported or exported</w:t>
      </w:r>
      <w:r w:rsidRPr="00703E0E">
        <w:t xml:space="preserve"> internationally.</w:t>
      </w:r>
    </w:p>
    <w:p w:rsidR="003741BF" w:rsidRPr="00703E0E" w:rsidRDefault="003741BF" w:rsidP="00C51FF5">
      <w:pPr>
        <w:rPr>
          <w:highlight w:val="yellow"/>
        </w:rPr>
      </w:pPr>
      <w:r w:rsidRPr="00703E0E">
        <w:t xml:space="preserve">The objective of this guidance document is </w:t>
      </w:r>
      <w:r w:rsidR="00B34785">
        <w:t xml:space="preserve">more specifically </w:t>
      </w:r>
      <w:r w:rsidRPr="00703E0E">
        <w:t>to facilitate the identification and control</w:t>
      </w:r>
      <w:r w:rsidR="00A3759D">
        <w:t xml:space="preserve">, </w:t>
      </w:r>
      <w:r w:rsidR="00A3759D" w:rsidRPr="00703E0E">
        <w:t>w</w:t>
      </w:r>
      <w:r w:rsidR="00A3759D">
        <w:t>hich is mandatory for a Party to the Convention,</w:t>
      </w:r>
      <w:r w:rsidRPr="00703E0E">
        <w:t xml:space="preserve"> </w:t>
      </w:r>
      <w:r w:rsidR="00E717D5">
        <w:t xml:space="preserve">in particular </w:t>
      </w:r>
      <w:r w:rsidRPr="00703E0E">
        <w:t xml:space="preserve">of the 10 </w:t>
      </w:r>
      <w:r w:rsidR="001E3F51">
        <w:t xml:space="preserve">POPs </w:t>
      </w:r>
      <w:r w:rsidRPr="00703E0E">
        <w:t>banned</w:t>
      </w:r>
      <w:r w:rsidR="00CD542E">
        <w:t xml:space="preserve"> or</w:t>
      </w:r>
      <w:r w:rsidRPr="00703E0E">
        <w:t xml:space="preserve"> restricted </w:t>
      </w:r>
      <w:r w:rsidR="001E3F51">
        <w:t>in 2009 and 2011</w:t>
      </w:r>
      <w:r w:rsidR="00BE77E6">
        <w:t xml:space="preserve"> and </w:t>
      </w:r>
      <w:r w:rsidRPr="00703E0E">
        <w:t>DDT</w:t>
      </w:r>
      <w:r w:rsidR="00EF2B79">
        <w:t xml:space="preserve"> (initially listed POP)</w:t>
      </w:r>
      <w:r w:rsidR="00A3759D">
        <w:t>,</w:t>
      </w:r>
      <w:r w:rsidRPr="00703E0E">
        <w:t xml:space="preserve"> </w:t>
      </w:r>
      <w:r w:rsidR="00A3759D">
        <w:t xml:space="preserve">taken </w:t>
      </w:r>
      <w:r w:rsidRPr="00703E0E">
        <w:t>as substances</w:t>
      </w:r>
      <w:r w:rsidR="00A3759D">
        <w:t xml:space="preserve"> per se or contained</w:t>
      </w:r>
      <w:r w:rsidRPr="00703E0E">
        <w:t xml:space="preserve"> in mixtures and/or in articles</w:t>
      </w:r>
      <w:r w:rsidR="00A3759D">
        <w:t>.</w:t>
      </w:r>
    </w:p>
    <w:p w:rsidR="003741BF" w:rsidRPr="00703E0E" w:rsidRDefault="003741BF" w:rsidP="00D42A56">
      <w:r w:rsidRPr="00703E0E">
        <w:t xml:space="preserve">The document outlines </w:t>
      </w:r>
      <w:r w:rsidR="00A3759D">
        <w:t xml:space="preserve">a </w:t>
      </w:r>
      <w:r w:rsidRPr="00703E0E">
        <w:t>process for the import control of these chemical</w:t>
      </w:r>
      <w:r w:rsidR="00A3759D">
        <w:t>s</w:t>
      </w:r>
      <w:r w:rsidRPr="00703E0E">
        <w:t xml:space="preserve">, which also addresses the prevention of illegal trade in POPs. </w:t>
      </w:r>
      <w:r w:rsidR="00A3759D">
        <w:t>Such a</w:t>
      </w:r>
      <w:r w:rsidR="00A3759D" w:rsidRPr="00703E0E">
        <w:t xml:space="preserve"> </w:t>
      </w:r>
      <w:r w:rsidRPr="00703E0E">
        <w:t>process involves:</w:t>
      </w:r>
    </w:p>
    <w:p w:rsidR="003741BF" w:rsidRPr="00703E0E" w:rsidRDefault="003741BF" w:rsidP="00A74348">
      <w:pPr>
        <w:pStyle w:val="BulletLevel1"/>
        <w:rPr>
          <w:lang w:val="en-GB"/>
        </w:rPr>
      </w:pPr>
      <w:r w:rsidRPr="00703E0E">
        <w:rPr>
          <w:lang w:val="en-GB"/>
        </w:rPr>
        <w:t>The identification of chemicals as substances</w:t>
      </w:r>
      <w:r w:rsidR="00F95751">
        <w:rPr>
          <w:lang w:val="en-GB"/>
        </w:rPr>
        <w:t xml:space="preserve"> per se</w:t>
      </w:r>
      <w:r w:rsidR="004D4F3E">
        <w:rPr>
          <w:lang w:val="en-GB"/>
        </w:rPr>
        <w:t xml:space="preserve"> or contained </w:t>
      </w:r>
      <w:r w:rsidRPr="00703E0E">
        <w:rPr>
          <w:lang w:val="en-GB"/>
        </w:rPr>
        <w:t>in mixtures or in articles (section 1.1).</w:t>
      </w:r>
    </w:p>
    <w:p w:rsidR="003741BF" w:rsidRPr="00703E0E" w:rsidRDefault="003741BF" w:rsidP="00A74348">
      <w:pPr>
        <w:pStyle w:val="BulletLevel1"/>
        <w:rPr>
          <w:lang w:val="en-GB"/>
        </w:rPr>
      </w:pPr>
      <w:r w:rsidRPr="00703E0E">
        <w:rPr>
          <w:lang w:val="en-GB"/>
        </w:rPr>
        <w:t>The legal basis for control (section 2.1).</w:t>
      </w:r>
    </w:p>
    <w:p w:rsidR="003741BF" w:rsidRPr="00703E0E" w:rsidRDefault="003741BF" w:rsidP="00A74348">
      <w:pPr>
        <w:pStyle w:val="BulletLevel1"/>
        <w:rPr>
          <w:lang w:val="en-GB"/>
        </w:rPr>
      </w:pPr>
      <w:r w:rsidRPr="00703E0E">
        <w:rPr>
          <w:lang w:val="en-GB"/>
        </w:rPr>
        <w:t>The application of customs control (section 2.2).</w:t>
      </w:r>
    </w:p>
    <w:p w:rsidR="003741BF" w:rsidRPr="00703E0E" w:rsidRDefault="003741BF" w:rsidP="00A74348">
      <w:pPr>
        <w:pStyle w:val="BulletLevel1"/>
        <w:rPr>
          <w:lang w:val="en-GB"/>
        </w:rPr>
      </w:pPr>
      <w:r w:rsidRPr="00703E0E">
        <w:rPr>
          <w:lang w:val="en-GB"/>
        </w:rPr>
        <w:t xml:space="preserve">The use of supporting documents and a database for the import control of POPs by four major stakeholder groups – customs authorities, local control authorities, national government authorities, and companies (chapter </w:t>
      </w:r>
      <w:r w:rsidR="00B641C3">
        <w:rPr>
          <w:lang w:val="en-GB"/>
        </w:rPr>
        <w:t>3</w:t>
      </w:r>
      <w:r w:rsidRPr="00703E0E">
        <w:rPr>
          <w:lang w:val="en-GB"/>
        </w:rPr>
        <w:t>).</w:t>
      </w:r>
    </w:p>
    <w:p w:rsidR="003741BF" w:rsidRPr="00703E0E" w:rsidRDefault="003741BF" w:rsidP="007E09A6">
      <w:pPr>
        <w:spacing w:before="120" w:after="240"/>
      </w:pPr>
      <w:r w:rsidRPr="00703E0E">
        <w:t>An effective identification and control mechanism requires a strong coordination effort involving all relevant stakeholders, and should be considered a high priority for successful implementation of the Convention. This involves a</w:t>
      </w:r>
      <w:r w:rsidR="004D4F3E">
        <w:t xml:space="preserve"> clear</w:t>
      </w:r>
      <w:r w:rsidRPr="00703E0E">
        <w:t xml:space="preserve"> understanding of which POPs can be traded internationally and the ability to enforce regulations on such trade.</w:t>
      </w:r>
      <w:bookmarkStart w:id="4" w:name="_Toc311213152"/>
      <w:bookmarkStart w:id="5" w:name="_Toc311213153"/>
      <w:bookmarkStart w:id="6" w:name="_Toc307830748"/>
      <w:bookmarkEnd w:id="4"/>
      <w:bookmarkEnd w:id="5"/>
    </w:p>
    <w:p w:rsidR="003741BF" w:rsidRPr="00703E0E" w:rsidRDefault="003741BF" w:rsidP="00D42A56">
      <w:pPr>
        <w:pStyle w:val="Heading2"/>
        <w:rPr>
          <w:sz w:val="28"/>
        </w:rPr>
      </w:pPr>
      <w:bookmarkStart w:id="7" w:name="_Toc326160679"/>
      <w:r w:rsidRPr="00703E0E">
        <w:t>Identification of chemicals as substances</w:t>
      </w:r>
      <w:r w:rsidR="004D4F3E">
        <w:t xml:space="preserve"> or</w:t>
      </w:r>
      <w:r w:rsidRPr="00703E0E">
        <w:t xml:space="preserve"> </w:t>
      </w:r>
      <w:r w:rsidR="004D4F3E">
        <w:t xml:space="preserve">contained </w:t>
      </w:r>
      <w:r w:rsidRPr="00703E0E">
        <w:t xml:space="preserve">in mixtures </w:t>
      </w:r>
      <w:r w:rsidR="004D4F3E">
        <w:t>or</w:t>
      </w:r>
      <w:r w:rsidR="004D4F3E" w:rsidRPr="00703E0E">
        <w:t xml:space="preserve"> </w:t>
      </w:r>
      <w:r w:rsidRPr="00703E0E">
        <w:t>in articles</w:t>
      </w:r>
      <w:bookmarkEnd w:id="6"/>
      <w:bookmarkEnd w:id="7"/>
    </w:p>
    <w:p w:rsidR="003741BF" w:rsidRPr="00703E0E" w:rsidRDefault="00887C89" w:rsidP="00D42A56">
      <w:r>
        <w:t>T</w:t>
      </w:r>
      <w:r w:rsidR="004D4F3E">
        <w:t xml:space="preserve">he </w:t>
      </w:r>
      <w:r w:rsidR="003741BF" w:rsidRPr="00703E0E">
        <w:t>terms used in this document are listed in</w:t>
      </w:r>
      <w:r w:rsidR="00FE511B">
        <w:t xml:space="preserve"> the supporting document entitled </w:t>
      </w:r>
      <w:r w:rsidR="00FE511B" w:rsidRPr="00FE511B">
        <w:rPr>
          <w:i/>
        </w:rPr>
        <w:t>Terminol</w:t>
      </w:r>
      <w:r w:rsidR="00FE511B">
        <w:rPr>
          <w:i/>
        </w:rPr>
        <w:t>og</w:t>
      </w:r>
      <w:r w:rsidR="00FE511B" w:rsidRPr="00FE511B">
        <w:rPr>
          <w:i/>
        </w:rPr>
        <w:t>y</w:t>
      </w:r>
      <w:r w:rsidR="003741BF" w:rsidRPr="00CD1E71">
        <w:t xml:space="preserve">. </w:t>
      </w:r>
      <w:r w:rsidR="003741BF">
        <w:t>K</w:t>
      </w:r>
      <w:r w:rsidR="003741BF" w:rsidRPr="00703E0E">
        <w:t>ey terms</w:t>
      </w:r>
      <w:r w:rsidR="003741BF" w:rsidRPr="00CD1E71">
        <w:t xml:space="preserve"> include:</w:t>
      </w:r>
    </w:p>
    <w:p w:rsidR="003741BF" w:rsidRPr="00703E0E" w:rsidRDefault="003741BF" w:rsidP="00A74348">
      <w:pPr>
        <w:pStyle w:val="BulletLevel1"/>
        <w:rPr>
          <w:lang w:val="en-GB"/>
        </w:rPr>
      </w:pPr>
      <w:r w:rsidRPr="00CD1E71">
        <w:rPr>
          <w:b/>
          <w:lang w:val="en-GB"/>
        </w:rPr>
        <w:t>Chemical substance/chemical/substance</w:t>
      </w:r>
      <w:r w:rsidRPr="00703E0E">
        <w:rPr>
          <w:lang w:val="en-GB"/>
        </w:rPr>
        <w:t>: characterized by following an agreed system of nomenclature such as a standardized International Union of Pure and Applied Chemistry (IUPAC) name, and/or a unique Registry Number and a Chemical Abstract Service (CAS) Index Name.</w:t>
      </w:r>
    </w:p>
    <w:p w:rsidR="003741BF" w:rsidRPr="00703E0E" w:rsidRDefault="003741BF" w:rsidP="00A74348">
      <w:pPr>
        <w:pStyle w:val="BulletLevel1"/>
        <w:rPr>
          <w:lang w:val="en-GB"/>
        </w:rPr>
      </w:pPr>
      <w:r w:rsidRPr="00CD1E71">
        <w:rPr>
          <w:b/>
          <w:lang w:val="en-GB"/>
        </w:rPr>
        <w:t>Chemical product</w:t>
      </w:r>
      <w:r w:rsidRPr="00703E0E">
        <w:rPr>
          <w:lang w:val="en-GB"/>
        </w:rPr>
        <w:t>: a substance and/or a mixture/preparation of chemical substances with certain percentages or percentage ranges of the chemical substances.</w:t>
      </w:r>
    </w:p>
    <w:p w:rsidR="003741BF" w:rsidRPr="00703E0E" w:rsidRDefault="003741BF" w:rsidP="00A74348">
      <w:pPr>
        <w:pStyle w:val="BulletLevel1"/>
        <w:rPr>
          <w:lang w:val="en-GB"/>
        </w:rPr>
      </w:pPr>
      <w:r w:rsidRPr="00CD1E71">
        <w:rPr>
          <w:b/>
          <w:lang w:val="en-GB"/>
        </w:rPr>
        <w:t>Article</w:t>
      </w:r>
      <w:r w:rsidRPr="00703E0E">
        <w:rPr>
          <w:lang w:val="en-GB"/>
        </w:rPr>
        <w:t>: an object which during production is given a special shape, surface or design, which determines its function to a greater degree than does its chemical composition. Examples of articles are a car, battery, computer, telephone, printer, clothes, and refrigerator. Articles can contain liquids (e.g. car: brake fluid) and gases (e.g. refrigerator: compressed cooling gas).</w:t>
      </w:r>
    </w:p>
    <w:p w:rsidR="003741BF" w:rsidRPr="00703E0E" w:rsidRDefault="003741BF" w:rsidP="00BA5283">
      <w:pPr>
        <w:spacing w:before="120"/>
      </w:pPr>
      <w:r w:rsidRPr="00703E0E">
        <w:t xml:space="preserve">Chemicals can be identified by using an agreed system of </w:t>
      </w:r>
      <w:r w:rsidRPr="004B35CA">
        <w:t>nomenclature or systematic naming</w:t>
      </w:r>
      <w:r w:rsidRPr="00703E0E">
        <w:rPr>
          <w:i/>
        </w:rPr>
        <w:t xml:space="preserve"> </w:t>
      </w:r>
      <w:r w:rsidRPr="00703E0E">
        <w:t xml:space="preserve">(e.g. IUPAC, CAS) or a </w:t>
      </w:r>
      <w:r w:rsidRPr="004B35CA">
        <w:t>generic name</w:t>
      </w:r>
      <w:r w:rsidRPr="00703E0E">
        <w:t xml:space="preserve">; a </w:t>
      </w:r>
      <w:r w:rsidRPr="004B35CA">
        <w:t>trade name</w:t>
      </w:r>
      <w:r w:rsidRPr="00703E0E">
        <w:t xml:space="preserve">; and/or a </w:t>
      </w:r>
      <w:r w:rsidRPr="004B35CA">
        <w:t xml:space="preserve">proprietary brand name, a common name, or a company </w:t>
      </w:r>
      <w:r w:rsidRPr="004B35CA">
        <w:lastRenderedPageBreak/>
        <w:t>name</w:t>
      </w:r>
      <w:r w:rsidRPr="00703E0E">
        <w:t xml:space="preserve"> usually designated by a trademark®, (since long and complicated systematic names are difficult to use for marketing purposes):</w:t>
      </w:r>
    </w:p>
    <w:p w:rsidR="003741BF" w:rsidRDefault="003741BF" w:rsidP="00901E30">
      <w:pPr>
        <w:pStyle w:val="BulletLevel1"/>
        <w:rPr>
          <w:lang w:val="en-GB"/>
        </w:rPr>
      </w:pPr>
      <w:r w:rsidRPr="00CD1E71">
        <w:rPr>
          <w:b/>
          <w:lang w:val="en-GB"/>
        </w:rPr>
        <w:t>Generic name</w:t>
      </w:r>
      <w:r w:rsidRPr="00703E0E">
        <w:rPr>
          <w:lang w:val="en-GB"/>
        </w:rPr>
        <w:t>:</w:t>
      </w:r>
      <w:r w:rsidRPr="00703E0E">
        <w:rPr>
          <w:i/>
          <w:lang w:val="en-GB"/>
        </w:rPr>
        <w:t xml:space="preserve"> </w:t>
      </w:r>
      <w:r w:rsidRPr="00703E0E">
        <w:rPr>
          <w:lang w:val="en-GB"/>
        </w:rPr>
        <w:t>This name is not specific to a chemical substance, but describes a class of chemicals. It is used by industry, for example, to protect confidential business information when the identity of the chemical should not be revealed through the systematic chemical name.</w:t>
      </w:r>
    </w:p>
    <w:p w:rsidR="003741BF" w:rsidRPr="00703E0E" w:rsidRDefault="003741BF" w:rsidP="001C52B6">
      <w:pPr>
        <w:pStyle w:val="BulletLevel1"/>
        <w:rPr>
          <w:lang w:val="en-GB"/>
        </w:rPr>
      </w:pPr>
      <w:r w:rsidRPr="00CD1E71">
        <w:rPr>
          <w:b/>
          <w:lang w:val="en-GB"/>
        </w:rPr>
        <w:t>Common name</w:t>
      </w:r>
      <w:r w:rsidRPr="00703E0E">
        <w:rPr>
          <w:lang w:val="en-GB"/>
        </w:rPr>
        <w:t>:</w:t>
      </w:r>
      <w:r w:rsidRPr="00703E0E">
        <w:rPr>
          <w:i/>
          <w:lang w:val="en-GB"/>
        </w:rPr>
        <w:t xml:space="preserve"> </w:t>
      </w:r>
      <w:r w:rsidRPr="00703E0E">
        <w:rPr>
          <w:lang w:val="en-GB"/>
        </w:rPr>
        <w:t>This name is given to a</w:t>
      </w:r>
      <w:r>
        <w:rPr>
          <w:lang w:val="en-GB"/>
        </w:rPr>
        <w:t xml:space="preserve"> </w:t>
      </w:r>
      <w:r w:rsidRPr="00703E0E">
        <w:rPr>
          <w:lang w:val="en-GB"/>
        </w:rPr>
        <w:t xml:space="preserve">chemical with </w:t>
      </w:r>
      <w:r>
        <w:rPr>
          <w:lang w:val="en-GB"/>
        </w:rPr>
        <w:t xml:space="preserve">a </w:t>
      </w:r>
      <w:r w:rsidRPr="00703E0E">
        <w:rPr>
          <w:lang w:val="en-GB"/>
        </w:rPr>
        <w:t>compl</w:t>
      </w:r>
      <w:r>
        <w:rPr>
          <w:lang w:val="en-GB"/>
        </w:rPr>
        <w:t>icated systematic chemical name</w:t>
      </w:r>
      <w:r w:rsidRPr="00703E0E">
        <w:rPr>
          <w:lang w:val="en-GB"/>
        </w:rPr>
        <w:t xml:space="preserve"> so as to communicate more easily, especially with the public.</w:t>
      </w:r>
    </w:p>
    <w:p w:rsidR="003741BF" w:rsidRPr="00703E0E" w:rsidRDefault="003741BF" w:rsidP="001C52B6">
      <w:pPr>
        <w:pStyle w:val="BulletLevel1"/>
        <w:rPr>
          <w:lang w:val="en-GB"/>
        </w:rPr>
      </w:pPr>
      <w:r w:rsidRPr="00CD1E71">
        <w:rPr>
          <w:b/>
          <w:lang w:val="en-GB"/>
        </w:rPr>
        <w:t>Trade name:</w:t>
      </w:r>
      <w:r w:rsidRPr="00703E0E">
        <w:rPr>
          <w:lang w:val="en-GB"/>
        </w:rPr>
        <w:t xml:space="preserve"> This name is given to a chemical, mixture, or article by the company that markets/supplies it. It normally specifically identifies the chemical, mixture, or article and sometimes gives information on the company.</w:t>
      </w:r>
    </w:p>
    <w:p w:rsidR="003741BF" w:rsidRPr="00703E0E" w:rsidRDefault="003741BF" w:rsidP="00D42A56">
      <w:r w:rsidRPr="00703E0E">
        <w:t>Examples involving a common name and/or trade name, CAS number, and systematic name include:</w:t>
      </w:r>
      <w:r w:rsidRPr="00703E0E">
        <w:rPr>
          <w:rStyle w:val="FootnoteReference"/>
          <w:rFonts w:ascii="Times New Roman" w:hAnsi="Times New Roman"/>
          <w:szCs w:val="24"/>
        </w:rPr>
        <w:footnoteReference w:id="1"/>
      </w:r>
    </w:p>
    <w:p w:rsidR="003741BF" w:rsidRDefault="003741BF">
      <w:pPr>
        <w:pStyle w:val="BulletLevel1"/>
        <w:numPr>
          <w:ilvl w:val="0"/>
          <w:numId w:val="6"/>
        </w:numPr>
        <w:rPr>
          <w:lang w:val="en-GB"/>
        </w:rPr>
      </w:pPr>
      <w:r w:rsidRPr="00703E0E">
        <w:rPr>
          <w:lang w:val="en-GB"/>
        </w:rPr>
        <w:t>Aspirin, an analgesic, aspro, (50-78-2), 2-(Acetyloxy)benzoic acid</w:t>
      </w:r>
    </w:p>
    <w:p w:rsidR="003741BF" w:rsidRDefault="003741BF">
      <w:pPr>
        <w:pStyle w:val="BulletLevel1"/>
        <w:numPr>
          <w:ilvl w:val="0"/>
          <w:numId w:val="6"/>
        </w:numPr>
        <w:rPr>
          <w:lang w:val="en-GB"/>
        </w:rPr>
      </w:pPr>
      <w:r w:rsidRPr="00703E0E">
        <w:rPr>
          <w:lang w:val="en-GB"/>
        </w:rPr>
        <w:t>Chloroform, an anaesthetic, (67-66-3), 1,1,1,-trichloromethane</w:t>
      </w:r>
    </w:p>
    <w:p w:rsidR="003741BF" w:rsidRDefault="003741BF">
      <w:pPr>
        <w:pStyle w:val="BulletLevel1"/>
        <w:numPr>
          <w:ilvl w:val="0"/>
          <w:numId w:val="6"/>
        </w:numPr>
        <w:spacing w:after="240"/>
        <w:rPr>
          <w:lang w:val="en-GB"/>
        </w:rPr>
      </w:pPr>
      <w:r w:rsidRPr="00703E0E">
        <w:rPr>
          <w:lang w:val="en-GB"/>
        </w:rPr>
        <w:t>DDT, a contact insecticide, (50-29-3), 1,1'-(2,2,2-trichloroethylidene)-bis[4-chlorobenzene]</w:t>
      </w:r>
    </w:p>
    <w:p w:rsidR="003741BF" w:rsidRPr="00703E0E" w:rsidRDefault="003741BF" w:rsidP="00C96CC7">
      <w:pPr>
        <w:snapToGrid/>
        <w:spacing w:after="0"/>
        <w:jc w:val="left"/>
        <w:rPr>
          <w:rFonts w:eastAsia="Times New Roman"/>
          <w:color w:val="000000"/>
          <w:lang w:eastAsia="en-GB"/>
        </w:rPr>
      </w:pPr>
      <w:r w:rsidRPr="00703E0E">
        <w:br w:type="page"/>
      </w:r>
    </w:p>
    <w:p w:rsidR="003741BF" w:rsidRPr="00703E0E" w:rsidRDefault="003741BF" w:rsidP="0092498A">
      <w:pPr>
        <w:pStyle w:val="Heading1"/>
      </w:pPr>
      <w:bookmarkStart w:id="8" w:name="_Toc310864071"/>
      <w:bookmarkStart w:id="9" w:name="_Toc310866853"/>
      <w:bookmarkStart w:id="10" w:name="_Toc310929559"/>
      <w:bookmarkStart w:id="11" w:name="_Toc310929613"/>
      <w:bookmarkStart w:id="12" w:name="_Toc310929666"/>
      <w:bookmarkStart w:id="13" w:name="_Toc310929839"/>
      <w:bookmarkStart w:id="14" w:name="_Toc311017979"/>
      <w:bookmarkStart w:id="15" w:name="_Toc311018030"/>
      <w:bookmarkStart w:id="16" w:name="_Toc311213155"/>
      <w:bookmarkStart w:id="17" w:name="_Toc307830749"/>
      <w:bookmarkStart w:id="18" w:name="_Toc326160680"/>
      <w:bookmarkEnd w:id="8"/>
      <w:bookmarkEnd w:id="9"/>
      <w:bookmarkEnd w:id="10"/>
      <w:bookmarkEnd w:id="11"/>
      <w:bookmarkEnd w:id="12"/>
      <w:bookmarkEnd w:id="13"/>
      <w:bookmarkEnd w:id="14"/>
      <w:bookmarkEnd w:id="15"/>
      <w:bookmarkEnd w:id="16"/>
      <w:r w:rsidRPr="00703E0E">
        <w:lastRenderedPageBreak/>
        <w:t xml:space="preserve">Introduction to the legal obligations for </w:t>
      </w:r>
      <w:bookmarkEnd w:id="17"/>
      <w:r w:rsidRPr="00703E0E">
        <w:t>listed POPs</w:t>
      </w:r>
      <w:bookmarkEnd w:id="18"/>
    </w:p>
    <w:p w:rsidR="003741BF" w:rsidRPr="00703E0E" w:rsidRDefault="003741BF" w:rsidP="00750164">
      <w:pPr>
        <w:pStyle w:val="Heading2"/>
      </w:pPr>
      <w:bookmarkStart w:id="19" w:name="_Toc307830750"/>
      <w:bookmarkStart w:id="20" w:name="_Toc326160681"/>
      <w:r w:rsidRPr="00703E0E">
        <w:t>Legal basis for control</w:t>
      </w:r>
      <w:bookmarkEnd w:id="19"/>
      <w:bookmarkEnd w:id="20"/>
    </w:p>
    <w:p w:rsidR="003741BF" w:rsidRPr="00703E0E" w:rsidRDefault="003741BF" w:rsidP="00D42A56">
      <w:r w:rsidRPr="00703E0E">
        <w:t xml:space="preserve">The identification of banned or severely restricted new POPs listed in Annex A and Annex B </w:t>
      </w:r>
      <w:r>
        <w:t xml:space="preserve">of the Stockholm Convention </w:t>
      </w:r>
      <w:r w:rsidRPr="00703E0E">
        <w:t>as substances, in mixtures, and, as appropriate, in articles during import and in the country</w:t>
      </w:r>
      <w:r w:rsidR="004C5A0A">
        <w:t>,</w:t>
      </w:r>
      <w:r w:rsidRPr="00703E0E">
        <w:t xml:space="preserve"> is mandatory for all Parties. In addition, chemical products and articles that contain the unintentionally produced POPs listed in Annex A or Annex B, in a concentration higher than a trace contaminant, are also regulated (see </w:t>
      </w:r>
      <w:r>
        <w:t>t</w:t>
      </w:r>
      <w:r w:rsidRPr="00703E0E">
        <w:t xml:space="preserve">ext </w:t>
      </w:r>
      <w:r>
        <w:t>b</w:t>
      </w:r>
      <w:r w:rsidRPr="00703E0E">
        <w:t xml:space="preserve">ox </w:t>
      </w:r>
      <w:r>
        <w:t>2-1</w:t>
      </w:r>
      <w:r w:rsidRPr="00703E0E">
        <w:t xml:space="preserve">). </w:t>
      </w:r>
    </w:p>
    <w:tbl>
      <w:tblPr>
        <w:tblpPr w:leftFromText="180" w:rightFromText="180" w:vertAnchor="text" w:horzAnchor="margin" w:tblpXSpec="center" w:tblpY="174"/>
        <w:tblW w:w="0" w:type="auto"/>
        <w:tblBorders>
          <w:top w:val="single" w:sz="48" w:space="0" w:color="B6DDE8"/>
          <w:left w:val="single" w:sz="48" w:space="0" w:color="B6DDE8"/>
          <w:bottom w:val="single" w:sz="48" w:space="0" w:color="B6DDE8"/>
          <w:right w:val="single" w:sz="48" w:space="0" w:color="B6DDE8"/>
          <w:insideH w:val="single" w:sz="48" w:space="0" w:color="B6DDE8"/>
          <w:insideV w:val="single" w:sz="48" w:space="0" w:color="FFC000"/>
        </w:tblBorders>
        <w:tblLook w:val="00A0"/>
      </w:tblPr>
      <w:tblGrid>
        <w:gridCol w:w="9072"/>
      </w:tblGrid>
      <w:tr w:rsidR="003741BF" w:rsidRPr="00703E0E">
        <w:trPr>
          <w:trHeight w:val="4266"/>
        </w:trPr>
        <w:tc>
          <w:tcPr>
            <w:tcW w:w="9072" w:type="dxa"/>
            <w:tcBorders>
              <w:top w:val="single" w:sz="48" w:space="0" w:color="B6DDE8"/>
              <w:left w:val="single" w:sz="48" w:space="0" w:color="B6DDE8"/>
              <w:bottom w:val="single" w:sz="48" w:space="0" w:color="B6DDE8"/>
              <w:right w:val="single" w:sz="48" w:space="0" w:color="B6DDE8"/>
            </w:tcBorders>
            <w:tcMar>
              <w:top w:w="113" w:type="dxa"/>
              <w:left w:w="227" w:type="dxa"/>
              <w:bottom w:w="113" w:type="dxa"/>
              <w:right w:w="227" w:type="dxa"/>
            </w:tcMar>
          </w:tcPr>
          <w:p w:rsidR="003741BF" w:rsidRPr="00703E0E" w:rsidRDefault="003741BF" w:rsidP="009A60CB">
            <w:pPr>
              <w:jc w:val="center"/>
              <w:rPr>
                <w:rFonts w:cs="Calibri"/>
                <w:b/>
              </w:rPr>
            </w:pPr>
            <w:r w:rsidRPr="00703E0E">
              <w:rPr>
                <w:rFonts w:cs="Calibri"/>
                <w:b/>
              </w:rPr>
              <w:t xml:space="preserve">Text Box </w:t>
            </w:r>
            <w:r>
              <w:rPr>
                <w:rFonts w:cs="Calibri"/>
                <w:b/>
              </w:rPr>
              <w:t>2-</w:t>
            </w:r>
            <w:r w:rsidRPr="00703E0E">
              <w:rPr>
                <w:rFonts w:cs="Calibri"/>
                <w:b/>
              </w:rPr>
              <w:t xml:space="preserve">1 </w:t>
            </w:r>
          </w:p>
          <w:p w:rsidR="003741BF" w:rsidRPr="00703E0E" w:rsidRDefault="00B34785" w:rsidP="00C96CC7">
            <w:pPr>
              <w:jc w:val="center"/>
              <w:rPr>
                <w:rFonts w:cs="Calibri"/>
                <w:b/>
              </w:rPr>
            </w:pPr>
            <w:r>
              <w:rPr>
                <w:rFonts w:cs="Calibri"/>
                <w:b/>
              </w:rPr>
              <w:t>Chemicals</w:t>
            </w:r>
            <w:r w:rsidRPr="00703E0E">
              <w:rPr>
                <w:rFonts w:cs="Calibri"/>
                <w:b/>
              </w:rPr>
              <w:t xml:space="preserve"> </w:t>
            </w:r>
            <w:r w:rsidR="003741BF" w:rsidRPr="00703E0E">
              <w:rPr>
                <w:rFonts w:cs="Calibri"/>
                <w:b/>
              </w:rPr>
              <w:t>that may be banned or restricted globally by the Convention include:</w:t>
            </w:r>
          </w:p>
          <w:p w:rsidR="003741BF" w:rsidRPr="00703E0E" w:rsidRDefault="003741BF" w:rsidP="00A74348">
            <w:pPr>
              <w:pStyle w:val="BulletLevel1"/>
              <w:rPr>
                <w:lang w:val="en-GB"/>
              </w:rPr>
            </w:pPr>
            <w:r w:rsidRPr="00703E0E">
              <w:rPr>
                <w:lang w:val="en-GB"/>
              </w:rPr>
              <w:t>A listed POP as a chemical substance.</w:t>
            </w:r>
          </w:p>
          <w:p w:rsidR="003741BF" w:rsidRPr="00703E0E" w:rsidRDefault="003741BF" w:rsidP="00A74348">
            <w:pPr>
              <w:pStyle w:val="BulletLevel1"/>
              <w:rPr>
                <w:lang w:val="en-GB"/>
              </w:rPr>
            </w:pPr>
            <w:r w:rsidRPr="00703E0E">
              <w:rPr>
                <w:lang w:val="en-GB"/>
              </w:rPr>
              <w:t xml:space="preserve">A mixture produced by intentionally adding a listed POP. </w:t>
            </w:r>
          </w:p>
          <w:p w:rsidR="003741BF" w:rsidRPr="00703E0E" w:rsidRDefault="003741BF" w:rsidP="00A74348">
            <w:pPr>
              <w:pStyle w:val="BulletLevel1"/>
              <w:rPr>
                <w:lang w:val="en-GB"/>
              </w:rPr>
            </w:pPr>
            <w:r w:rsidRPr="00703E0E">
              <w:rPr>
                <w:lang w:val="en-GB"/>
              </w:rPr>
              <w:t xml:space="preserve">An article produced by intentionally adding a listed POP. </w:t>
            </w:r>
          </w:p>
          <w:p w:rsidR="003741BF" w:rsidRPr="00703E0E" w:rsidRDefault="003741BF" w:rsidP="00A74348">
            <w:pPr>
              <w:pStyle w:val="BulletLevel1"/>
              <w:rPr>
                <w:lang w:val="en-GB"/>
              </w:rPr>
            </w:pPr>
            <w:r w:rsidRPr="00703E0E">
              <w:rPr>
                <w:lang w:val="en-GB"/>
              </w:rPr>
              <w:t xml:space="preserve">A non-POP chemical that due to its industrial production contains a listed POP unintentionally as a contaminant in a concentration higher than a trace contaminant. </w:t>
            </w:r>
          </w:p>
          <w:p w:rsidR="003741BF" w:rsidRPr="00703E0E" w:rsidRDefault="003741BF" w:rsidP="00A74348">
            <w:pPr>
              <w:pStyle w:val="BulletLevel1"/>
              <w:rPr>
                <w:lang w:val="en-GB"/>
              </w:rPr>
            </w:pPr>
            <w:r w:rsidRPr="00703E0E">
              <w:rPr>
                <w:lang w:val="en-GB"/>
              </w:rPr>
              <w:t xml:space="preserve">A mixture produced by intentionally adding a non-POP chemical that, due to its industrial production, contains a listed POP unintentionally as a contaminant in a concentration higher than a trace. </w:t>
            </w:r>
          </w:p>
          <w:p w:rsidR="003741BF" w:rsidRPr="00703E0E" w:rsidRDefault="003741BF" w:rsidP="00A74348">
            <w:pPr>
              <w:pStyle w:val="BulletLevel1"/>
              <w:rPr>
                <w:lang w:val="en-GB"/>
              </w:rPr>
            </w:pPr>
            <w:r w:rsidRPr="00703E0E">
              <w:rPr>
                <w:lang w:val="en-GB"/>
              </w:rPr>
              <w:t>An article produced by intentionally adding a non-POP chemical that, due to its industrial production, contains a listed POP unintentionally as a contaminant in a concentration higher than a trace.</w:t>
            </w:r>
          </w:p>
        </w:tc>
      </w:tr>
    </w:tbl>
    <w:p w:rsidR="003741BF" w:rsidRPr="00703E0E" w:rsidRDefault="003741BF" w:rsidP="007C2795">
      <w:pPr>
        <w:autoSpaceDE w:val="0"/>
        <w:autoSpaceDN w:val="0"/>
        <w:adjustRightInd w:val="0"/>
        <w:jc w:val="center"/>
        <w:rPr>
          <w:rFonts w:ascii="Times New Roman" w:hAnsi="Times New Roman"/>
          <w:sz w:val="24"/>
          <w:szCs w:val="24"/>
        </w:rPr>
      </w:pPr>
    </w:p>
    <w:p w:rsidR="003741BF" w:rsidRPr="00703E0E" w:rsidRDefault="003741BF" w:rsidP="00D42A56">
      <w:r w:rsidRPr="00703E0E">
        <w:t>Different stakeholders within a country need to identif</w:t>
      </w:r>
      <w:r w:rsidR="00F73411">
        <w:t>y</w:t>
      </w:r>
      <w:r w:rsidRPr="00703E0E">
        <w:t xml:space="preserve"> POPs for different purposes:</w:t>
      </w:r>
    </w:p>
    <w:p w:rsidR="003741BF" w:rsidRDefault="003741BF">
      <w:pPr>
        <w:pStyle w:val="BulletLevel1"/>
        <w:numPr>
          <w:ilvl w:val="0"/>
          <w:numId w:val="7"/>
        </w:numPr>
        <w:rPr>
          <w:lang w:val="en-GB"/>
        </w:rPr>
      </w:pPr>
      <w:r w:rsidRPr="00CD1E71">
        <w:rPr>
          <w:b/>
          <w:lang w:val="en-GB"/>
        </w:rPr>
        <w:t>Companies:</w:t>
      </w:r>
      <w:r w:rsidRPr="00703E0E">
        <w:rPr>
          <w:lang w:val="en-GB"/>
        </w:rPr>
        <w:t xml:space="preserve"> to avoid illegal import, export, </w:t>
      </w:r>
      <w:r w:rsidR="00B34785">
        <w:rPr>
          <w:lang w:val="en-GB"/>
        </w:rPr>
        <w:t xml:space="preserve">production </w:t>
      </w:r>
      <w:r w:rsidRPr="00703E0E">
        <w:rPr>
          <w:lang w:val="en-GB"/>
        </w:rPr>
        <w:t>and use of POPs banned or severely restricted, and to identify stockpiles of these POPs.</w:t>
      </w:r>
    </w:p>
    <w:p w:rsidR="003741BF" w:rsidRDefault="003741BF">
      <w:pPr>
        <w:pStyle w:val="BulletLevel1"/>
        <w:numPr>
          <w:ilvl w:val="0"/>
          <w:numId w:val="7"/>
        </w:numPr>
        <w:rPr>
          <w:lang w:val="en-GB"/>
        </w:rPr>
      </w:pPr>
      <w:r w:rsidRPr="00CD1E71">
        <w:rPr>
          <w:b/>
          <w:lang w:val="en-GB"/>
        </w:rPr>
        <w:t>Customs authori</w:t>
      </w:r>
      <w:r w:rsidRPr="00703E0E">
        <w:rPr>
          <w:lang w:val="en-GB"/>
        </w:rPr>
        <w:t xml:space="preserve">ties: to prevent illegal import and export of POPs banned or severely restricted. </w:t>
      </w:r>
    </w:p>
    <w:p w:rsidR="003741BF" w:rsidRDefault="003741BF">
      <w:pPr>
        <w:pStyle w:val="BulletLevel1"/>
        <w:numPr>
          <w:ilvl w:val="0"/>
          <w:numId w:val="7"/>
        </w:numPr>
        <w:rPr>
          <w:lang w:val="en-GB"/>
        </w:rPr>
      </w:pPr>
      <w:r w:rsidRPr="00B34785">
        <w:rPr>
          <w:b/>
          <w:lang w:val="en-GB"/>
        </w:rPr>
        <w:t>Local control authorities</w:t>
      </w:r>
      <w:r w:rsidRPr="00703E0E">
        <w:rPr>
          <w:lang w:val="en-GB"/>
        </w:rPr>
        <w:t xml:space="preserve">: to identify illegally imported POPs and stockpiles of POPs, and to prevent banned POPs production and use in companies. </w:t>
      </w:r>
    </w:p>
    <w:p w:rsidR="003741BF" w:rsidRDefault="003741BF">
      <w:pPr>
        <w:pStyle w:val="BulletLevel1"/>
        <w:numPr>
          <w:ilvl w:val="0"/>
          <w:numId w:val="7"/>
        </w:numPr>
        <w:spacing w:after="120"/>
        <w:rPr>
          <w:lang w:val="en-GB"/>
        </w:rPr>
      </w:pPr>
      <w:r w:rsidRPr="00CD1E71">
        <w:rPr>
          <w:b/>
          <w:lang w:val="en-GB"/>
        </w:rPr>
        <w:t>National government authorities</w:t>
      </w:r>
      <w:r w:rsidRPr="00703E0E">
        <w:rPr>
          <w:lang w:val="en-GB"/>
        </w:rPr>
        <w:t>: to</w:t>
      </w:r>
      <w:r w:rsidR="00D4021F">
        <w:rPr>
          <w:lang w:val="en-GB"/>
        </w:rPr>
        <w:t xml:space="preserve"> take the adequate measures as prescribed under the Convention, including </w:t>
      </w:r>
      <w:r w:rsidRPr="00703E0E">
        <w:rPr>
          <w:lang w:val="en-GB"/>
        </w:rPr>
        <w:t>identify</w:t>
      </w:r>
      <w:r w:rsidR="00D4021F">
        <w:rPr>
          <w:lang w:val="en-GB"/>
        </w:rPr>
        <w:t>ing</w:t>
      </w:r>
      <w:r w:rsidRPr="00703E0E">
        <w:rPr>
          <w:lang w:val="en-GB"/>
        </w:rPr>
        <w:t xml:space="preserve"> national stockpiles of POPs banned or severely restricted as part of the update of national implementation plans for newly listed POPs.</w:t>
      </w:r>
    </w:p>
    <w:p w:rsidR="003741BF" w:rsidRPr="00703E0E" w:rsidRDefault="003741BF" w:rsidP="00D42A56">
      <w:r w:rsidRPr="00703E0E">
        <w:t>General provisions for POPs in Annex A or Annex B include the following:</w:t>
      </w:r>
    </w:p>
    <w:p w:rsidR="003741BF" w:rsidRDefault="003741BF">
      <w:pPr>
        <w:pStyle w:val="BulletLevel1"/>
        <w:numPr>
          <w:ilvl w:val="0"/>
          <w:numId w:val="8"/>
        </w:numPr>
        <w:rPr>
          <w:lang w:val="en-GB"/>
        </w:rPr>
      </w:pPr>
      <w:r w:rsidRPr="00703E0E">
        <w:rPr>
          <w:lang w:val="en-GB"/>
        </w:rPr>
        <w:t>All chemicals in Annex A or Annex B to be used for laboratory-scale research or as a reference standard can be produced, marketed, and used within a Party and can be imported from or exported to a Party or a non-Party.</w:t>
      </w:r>
    </w:p>
    <w:p w:rsidR="003741BF" w:rsidRPr="00703E0E" w:rsidRDefault="003741BF" w:rsidP="00BD2753">
      <w:pPr>
        <w:pStyle w:val="BulletLevel1"/>
        <w:numPr>
          <w:ilvl w:val="0"/>
          <w:numId w:val="8"/>
        </w:numPr>
        <w:rPr>
          <w:lang w:val="en-GB"/>
        </w:rPr>
      </w:pPr>
      <w:r w:rsidRPr="00703E0E">
        <w:rPr>
          <w:lang w:val="en-GB"/>
        </w:rPr>
        <w:t>Types of articles containing POPs that were manufactured or already in use before the chemical was listed in Annex A or Annex B are allowed to be used within a Party provided that the Party has notified the Secretariat that these particular types of articles remain in use within that Party.</w:t>
      </w:r>
    </w:p>
    <w:p w:rsidR="003741BF" w:rsidRPr="00703E0E" w:rsidRDefault="003741BF" w:rsidP="00BD2753">
      <w:pPr>
        <w:pStyle w:val="BulletLevel1"/>
        <w:numPr>
          <w:ilvl w:val="0"/>
          <w:numId w:val="8"/>
        </w:numPr>
        <w:rPr>
          <w:lang w:val="en-GB"/>
        </w:rPr>
      </w:pPr>
      <w:r w:rsidRPr="00703E0E">
        <w:rPr>
          <w:lang w:val="en-GB"/>
        </w:rPr>
        <w:t xml:space="preserve">Types of articles containing a POP that are allowed for continued use within the Party, provided that the Party has notified the Secretariat that such a particular type of article remains in use within the </w:t>
      </w:r>
      <w:r w:rsidRPr="00703E0E">
        <w:rPr>
          <w:lang w:val="en-GB"/>
        </w:rPr>
        <w:lastRenderedPageBreak/>
        <w:t>Party, can be exported to and imported by another Party provided that it also has notified the Secretariat that the same particular type of article remains in use within that Party.</w:t>
      </w:r>
    </w:p>
    <w:p w:rsidR="003741BF" w:rsidRDefault="003741BF" w:rsidP="00BD2753">
      <w:pPr>
        <w:pStyle w:val="BulletLevel1"/>
        <w:numPr>
          <w:ilvl w:val="0"/>
          <w:numId w:val="8"/>
        </w:numPr>
        <w:rPr>
          <w:lang w:val="en-GB"/>
        </w:rPr>
      </w:pPr>
      <w:r w:rsidRPr="00703E0E">
        <w:rPr>
          <w:lang w:val="en-GB"/>
        </w:rPr>
        <w:t>The relevant notifications by Parties can be found on the website of the Stockholm Convention.</w:t>
      </w:r>
      <w:r w:rsidRPr="00703E0E">
        <w:rPr>
          <w:rStyle w:val="FootnoteReference"/>
          <w:rFonts w:ascii="Times New Roman" w:hAnsi="Times New Roman"/>
          <w:lang w:val="en-GB"/>
        </w:rPr>
        <w:footnoteReference w:id="2"/>
      </w:r>
    </w:p>
    <w:p w:rsidR="003741BF" w:rsidRPr="00703E0E" w:rsidRDefault="003741BF" w:rsidP="00D574A6">
      <w:pPr>
        <w:pStyle w:val="BulletLevel1"/>
        <w:numPr>
          <w:ilvl w:val="0"/>
          <w:numId w:val="0"/>
        </w:numPr>
        <w:ind w:left="720"/>
        <w:rPr>
          <w:lang w:val="en-GB"/>
        </w:rPr>
      </w:pPr>
    </w:p>
    <w:p w:rsidR="003741BF" w:rsidRDefault="003741BF">
      <w:pPr>
        <w:pStyle w:val="Heading3"/>
        <w:rPr>
          <w:lang w:eastAsia="de-DE"/>
        </w:rPr>
      </w:pPr>
      <w:bookmarkStart w:id="21" w:name="_Toc326160682"/>
      <w:r w:rsidRPr="00703E0E">
        <w:rPr>
          <w:lang w:eastAsia="de-DE"/>
        </w:rPr>
        <w:t>POPs legally on the national market</w:t>
      </w:r>
      <w:bookmarkEnd w:id="21"/>
      <w:r w:rsidRPr="00703E0E">
        <w:rPr>
          <w:lang w:eastAsia="de-DE"/>
        </w:rPr>
        <w:t xml:space="preserve"> </w:t>
      </w:r>
    </w:p>
    <w:p w:rsidR="006F0B31" w:rsidRDefault="006F0B31" w:rsidP="006F0B31">
      <w:r>
        <w:t xml:space="preserve">According to the decisions taken by the Conference of the Parties in 2009 and 2011 to list new POPs in Annex A and Annex B to the Stockholm Convention, the following substances can be legally on the market, subject to specific national laws, (either produced, used and/or traded within the territory of a Party, in accordance with the respective provisions) </w:t>
      </w:r>
      <w:r w:rsidRPr="00564E31">
        <w:rPr>
          <w:b/>
        </w:rPr>
        <w:t>provided that the Party has registered for the relevant specific exemptions or acceptable purposes</w:t>
      </w:r>
      <w:r>
        <w:t>:</w:t>
      </w:r>
    </w:p>
    <w:p w:rsidR="006F0B31" w:rsidRDefault="006F0B31" w:rsidP="006F0B31">
      <w:pPr>
        <w:pStyle w:val="BulletLevel1"/>
        <w:rPr>
          <w:color w:val="auto"/>
        </w:rPr>
      </w:pPr>
      <w:r>
        <w:rPr>
          <w:b/>
          <w:bCs/>
        </w:rPr>
        <w:t>Lindane</w:t>
      </w:r>
      <w:r>
        <w:t xml:space="preserve">: </w:t>
      </w:r>
      <w:r>
        <w:rPr>
          <w:color w:val="auto"/>
        </w:rPr>
        <w:t xml:space="preserve">No production allowed; use is allowed as a specific exemption for human health pharmaceutical for control of head lice and scabies as second line treatment. This provision is </w:t>
      </w:r>
      <w:r>
        <w:t xml:space="preserve">available for five years from </w:t>
      </w:r>
      <w:r w:rsidRPr="001C6607">
        <w:t>August 26, 2010</w:t>
      </w:r>
      <w:r>
        <w:t>, the date of entry into force of this decision.</w:t>
      </w:r>
    </w:p>
    <w:p w:rsidR="00B55B24" w:rsidRDefault="00B55B24" w:rsidP="00B55B24">
      <w:pPr>
        <w:pStyle w:val="BulletLevel1"/>
      </w:pPr>
      <w:r>
        <w:rPr>
          <w:b/>
          <w:bCs/>
        </w:rPr>
        <w:t>Endosulfan</w:t>
      </w:r>
      <w:r>
        <w:t>: Production is allowed only for the purposes of its allowed uses; uses are allowed on certain crop-pest complexes as provided under specific exemptions in part VI of Annex A. In principle, it applies to Parties for five years from 27 October 2012 onwards</w:t>
      </w:r>
      <w:r>
        <w:rPr>
          <w:rStyle w:val="FootnoteReference"/>
          <w:rFonts w:cs="Calibri"/>
        </w:rPr>
        <w:footnoteReference w:customMarkFollows="1" w:id="3"/>
        <w:t>[1]</w:t>
      </w:r>
      <w:r>
        <w:t xml:space="preserve"> , the date of entry into force of this decision.</w:t>
      </w:r>
    </w:p>
    <w:p w:rsidR="00B55B24" w:rsidRDefault="00B55B24" w:rsidP="00B55B24">
      <w:pPr>
        <w:pStyle w:val="BulletLevel1"/>
      </w:pPr>
      <w:r>
        <w:rPr>
          <w:b/>
          <w:bCs/>
        </w:rPr>
        <w:t>DDT</w:t>
      </w:r>
      <w:r>
        <w:t>: Production is allowed only for the purposes of its allowed uses; use is allowed for disease vector control in accordance with the World Health Organization recommendations and guidelines on the use of DDT</w:t>
      </w:r>
      <w:r w:rsidRPr="005F309D">
        <w:t xml:space="preserve"> </w:t>
      </w:r>
      <w:r>
        <w:t>as provided in part II of Annex B</w:t>
      </w:r>
      <w:proofErr w:type="gramStart"/>
      <w:r>
        <w:t>,.</w:t>
      </w:r>
      <w:proofErr w:type="gramEnd"/>
      <w:r>
        <w:t xml:space="preserve"> The acceptable purpose has no expire date unless otherwise the COP decides.</w:t>
      </w:r>
    </w:p>
    <w:p w:rsidR="003741BF" w:rsidRPr="00703E0E" w:rsidRDefault="00C42106" w:rsidP="00A74348">
      <w:pPr>
        <w:pStyle w:val="BulletLevel1"/>
        <w:rPr>
          <w:lang w:val="en-GB"/>
        </w:rPr>
      </w:pPr>
      <w:r>
        <w:rPr>
          <w:b/>
          <w:lang w:val="en-GB"/>
        </w:rPr>
        <w:t>T</w:t>
      </w:r>
      <w:r w:rsidR="003741BF" w:rsidRPr="00CD1E71">
        <w:rPr>
          <w:b/>
          <w:lang w:val="en-GB"/>
        </w:rPr>
        <w:t>etrabromodiphenyl ether and pentabromodiphenyl ether or hexabromodiphenyl ether and heptabromodiphenyl ether</w:t>
      </w:r>
      <w:r w:rsidR="00D27EA2">
        <w:rPr>
          <w:rStyle w:val="FootnoteReference"/>
          <w:b/>
          <w:lang w:val="en-GB"/>
        </w:rPr>
        <w:footnoteReference w:id="4"/>
      </w:r>
      <w:r w:rsidR="003741BF" w:rsidRPr="00703E0E">
        <w:rPr>
          <w:lang w:val="en-GB"/>
        </w:rPr>
        <w:t xml:space="preserve">: Recycling of articles containing </w:t>
      </w:r>
      <w:r w:rsidR="00CC045A">
        <w:rPr>
          <w:lang w:val="en-GB"/>
        </w:rPr>
        <w:t>these chemicals</w:t>
      </w:r>
      <w:r w:rsidR="003741BF" w:rsidRPr="00703E0E">
        <w:rPr>
          <w:lang w:val="en-GB"/>
        </w:rPr>
        <w:t xml:space="preserve">, </w:t>
      </w:r>
      <w:r w:rsidR="003741BF" w:rsidRPr="00703E0E">
        <w:rPr>
          <w:bCs/>
          <w:lang w:val="en-GB"/>
        </w:rPr>
        <w:t>and</w:t>
      </w:r>
      <w:r w:rsidR="003741BF" w:rsidRPr="00703E0E">
        <w:rPr>
          <w:b/>
          <w:bCs/>
          <w:lang w:val="en-GB"/>
        </w:rPr>
        <w:t xml:space="preserve"> </w:t>
      </w:r>
      <w:r w:rsidR="003741BF" w:rsidRPr="00703E0E">
        <w:rPr>
          <w:bCs/>
          <w:lang w:val="en-GB"/>
        </w:rPr>
        <w:t>the use and final disposal of</w:t>
      </w:r>
      <w:r w:rsidR="003741BF" w:rsidRPr="00703E0E">
        <w:rPr>
          <w:b/>
          <w:bCs/>
          <w:lang w:val="en-GB"/>
        </w:rPr>
        <w:t xml:space="preserve"> </w:t>
      </w:r>
      <w:r w:rsidR="003741BF" w:rsidRPr="00703E0E">
        <w:rPr>
          <w:lang w:val="en-GB"/>
        </w:rPr>
        <w:t xml:space="preserve">articles produced from these recycled materials containing commercial PentaBDE or OctaBDE, are allowed where the Party has notified the Secretariat of its intention to make use of this </w:t>
      </w:r>
      <w:r w:rsidR="008A4B4D">
        <w:rPr>
          <w:lang w:val="en-GB"/>
        </w:rPr>
        <w:t xml:space="preserve">specific </w:t>
      </w:r>
      <w:r w:rsidR="003741BF" w:rsidRPr="00703E0E">
        <w:rPr>
          <w:lang w:val="en-GB"/>
        </w:rPr>
        <w:t xml:space="preserve">exemption and </w:t>
      </w:r>
      <w:r w:rsidR="008A4B4D">
        <w:rPr>
          <w:lang w:val="en-GB"/>
        </w:rPr>
        <w:t xml:space="preserve">in accordance with </w:t>
      </w:r>
      <w:r w:rsidR="003741BF" w:rsidRPr="00703E0E">
        <w:rPr>
          <w:lang w:val="en-GB"/>
        </w:rPr>
        <w:t>the provisions in Annex A, Part</w:t>
      </w:r>
      <w:r w:rsidR="008A4B4D">
        <w:rPr>
          <w:lang w:val="en-GB"/>
        </w:rPr>
        <w:t>s</w:t>
      </w:r>
      <w:r w:rsidR="003741BF" w:rsidRPr="00703E0E">
        <w:rPr>
          <w:lang w:val="en-GB"/>
        </w:rPr>
        <w:t xml:space="preserve"> IV and V</w:t>
      </w:r>
      <w:r w:rsidR="00320F4A">
        <w:rPr>
          <w:lang w:val="en-GB"/>
        </w:rPr>
        <w:t>.</w:t>
      </w:r>
      <w:r w:rsidR="000103C5">
        <w:rPr>
          <w:lang w:val="en-GB"/>
        </w:rPr>
        <w:t xml:space="preserve"> The specific exemption will expire in 2030 for all Parties. </w:t>
      </w:r>
    </w:p>
    <w:p w:rsidR="000103C5" w:rsidRDefault="000103C5" w:rsidP="000103C5">
      <w:pPr>
        <w:pStyle w:val="BulletLevel1"/>
      </w:pPr>
      <w:r>
        <w:rPr>
          <w:b/>
          <w:bCs/>
        </w:rPr>
        <w:t>PFOS, its salts, PFOSF (and PFOS-related chemicals originating from PFOS, its salts and PFOSF) as substances, in mixtures, and in articles containing these chemicals:</w:t>
      </w:r>
      <w:r>
        <w:t xml:space="preserve"> Production allowed for the same </w:t>
      </w:r>
      <w:r>
        <w:lastRenderedPageBreak/>
        <w:t>purposes as the use: use allowed as substances, in mixtures and in articles containing these chemicals as specific exemptions or acceptable purposes listed in part I of Annex B. Parties that produce and/or use these chemicals shall take into account, as appropriate, guidance such as that given in the relevant parts of the general guidance on best available techniques and best environmental practices given in Part V of Annex C of the Convention. PFOS-related chemicals are chemicals that contain the structural element of PFOS in their molecular structure as they are and were produced with perfluorooctane sulfonic acid (PFOS), its salts or perfluorooctane sulfonyl fluoride (PFOSF) as an intermediate or starting material. The specific exemption is available for five years from the date of entry into force of the amendment for a Party while the acceptable purposes have no expire dates unless otherwise the COP decides.</w:t>
      </w:r>
    </w:p>
    <w:p w:rsidR="003741BF" w:rsidRPr="007E09A6" w:rsidRDefault="003741BF" w:rsidP="007E09A6">
      <w:pPr>
        <w:pStyle w:val="Heading3"/>
        <w:numPr>
          <w:ilvl w:val="0"/>
          <w:numId w:val="0"/>
        </w:numPr>
        <w:rPr>
          <w:lang w:eastAsia="de-DE"/>
        </w:rPr>
      </w:pPr>
    </w:p>
    <w:p w:rsidR="003741BF" w:rsidRDefault="003741BF">
      <w:pPr>
        <w:pStyle w:val="Heading3"/>
        <w:rPr>
          <w:lang w:eastAsia="de-DE"/>
        </w:rPr>
      </w:pPr>
      <w:bookmarkStart w:id="22" w:name="_Toc326160683"/>
      <w:r w:rsidRPr="00703E0E">
        <w:rPr>
          <w:lang w:eastAsia="de-DE"/>
        </w:rPr>
        <w:t xml:space="preserve">POPs legally traded </w:t>
      </w:r>
      <w:bookmarkEnd w:id="22"/>
    </w:p>
    <w:p w:rsidR="003741BF" w:rsidRPr="00703E0E" w:rsidRDefault="009A2E31" w:rsidP="00D42A56">
      <w:r>
        <w:t xml:space="preserve">According to the Stockholm Convention, only the </w:t>
      </w:r>
      <w:r w:rsidR="00482374">
        <w:t xml:space="preserve">following </w:t>
      </w:r>
      <w:r w:rsidR="00482374" w:rsidRPr="00703E0E">
        <w:t>―</w:t>
      </w:r>
      <w:r w:rsidR="003741BF" w:rsidRPr="00703E0E">
        <w:t xml:space="preserve"> as substances, in mixtures, or in articles ― are allowed to be traded between Parties, involving export from one Party and import into another Party</w:t>
      </w:r>
      <w:r w:rsidR="007B3D73">
        <w:t>. In general, the procedure for the legal trade between Parties is the same for all chemicals: the importing and the exporting Parties need to be registered for the matching specific exemptions or acceptable purposes.</w:t>
      </w:r>
    </w:p>
    <w:p w:rsidR="003741BF" w:rsidRPr="00703E0E" w:rsidRDefault="003741BF" w:rsidP="00A74348">
      <w:pPr>
        <w:pStyle w:val="BulletLevel1"/>
        <w:rPr>
          <w:lang w:val="en-GB"/>
        </w:rPr>
      </w:pPr>
      <w:r w:rsidRPr="00CD1E71">
        <w:rPr>
          <w:b/>
          <w:lang w:val="en-GB"/>
        </w:rPr>
        <w:t>Lindane</w:t>
      </w:r>
      <w:r w:rsidRPr="00703E0E">
        <w:rPr>
          <w:lang w:val="en-GB"/>
        </w:rPr>
        <w:t xml:space="preserve">: Trade of lindane </w:t>
      </w:r>
      <w:r w:rsidR="00DA1A54">
        <w:rPr>
          <w:lang w:val="en-GB"/>
        </w:rPr>
        <w:t xml:space="preserve">or </w:t>
      </w:r>
      <w:r w:rsidRPr="00703E0E">
        <w:rPr>
          <w:lang w:val="en-GB"/>
        </w:rPr>
        <w:t xml:space="preserve">of a mixture containing lindane </w:t>
      </w:r>
      <w:r>
        <w:rPr>
          <w:lang w:val="en-GB"/>
        </w:rPr>
        <w:t>is</w:t>
      </w:r>
      <w:r w:rsidRPr="00703E0E">
        <w:rPr>
          <w:lang w:val="en-GB"/>
        </w:rPr>
        <w:t xml:space="preserve"> allowed provided the importing Party and exporting Party have registered the specific exemption for lindane.</w:t>
      </w:r>
    </w:p>
    <w:p w:rsidR="003741BF" w:rsidRPr="00703E0E" w:rsidRDefault="003741BF" w:rsidP="00A74348">
      <w:pPr>
        <w:pStyle w:val="BulletLevel1"/>
        <w:rPr>
          <w:lang w:val="en-GB"/>
        </w:rPr>
      </w:pPr>
      <w:r w:rsidRPr="00CD1E71">
        <w:rPr>
          <w:b/>
          <w:lang w:val="en-GB" w:eastAsia="de-DE"/>
        </w:rPr>
        <w:t>Endosulfan</w:t>
      </w:r>
      <w:r w:rsidRPr="00703E0E">
        <w:rPr>
          <w:lang w:val="en-GB" w:eastAsia="de-DE"/>
        </w:rPr>
        <w:t xml:space="preserve">: </w:t>
      </w:r>
      <w:r w:rsidRPr="00703E0E">
        <w:rPr>
          <w:lang w:val="en-GB"/>
        </w:rPr>
        <w:t xml:space="preserve">Trade of endosulfan as a substance is allowed provided the exporting Party has registered </w:t>
      </w:r>
      <w:r w:rsidR="00DA1A54">
        <w:rPr>
          <w:lang w:val="en-GB"/>
        </w:rPr>
        <w:t>a specific exemption for the use of</w:t>
      </w:r>
      <w:r w:rsidRPr="00703E0E">
        <w:rPr>
          <w:lang w:val="en-GB"/>
        </w:rPr>
        <w:t xml:space="preserve"> a crop</w:t>
      </w:r>
      <w:r w:rsidR="00DA1A54">
        <w:rPr>
          <w:lang w:val="en-GB"/>
        </w:rPr>
        <w:t>-</w:t>
      </w:r>
      <w:r w:rsidRPr="00703E0E">
        <w:rPr>
          <w:lang w:val="en-GB"/>
        </w:rPr>
        <w:t xml:space="preserve">pest complex and the importing </w:t>
      </w:r>
      <w:r>
        <w:rPr>
          <w:lang w:val="en-GB"/>
        </w:rPr>
        <w:t>P</w:t>
      </w:r>
      <w:r w:rsidRPr="00703E0E">
        <w:rPr>
          <w:lang w:val="en-GB"/>
        </w:rPr>
        <w:t xml:space="preserve">arty has registered </w:t>
      </w:r>
      <w:r w:rsidR="000E12EB">
        <w:rPr>
          <w:lang w:val="en-GB"/>
        </w:rPr>
        <w:t xml:space="preserve">a specific exemption for </w:t>
      </w:r>
      <w:r w:rsidRPr="00703E0E">
        <w:rPr>
          <w:lang w:val="en-GB"/>
        </w:rPr>
        <w:t>the use for the same crop</w:t>
      </w:r>
      <w:r w:rsidR="00DA1A54">
        <w:rPr>
          <w:lang w:val="en-GB"/>
        </w:rPr>
        <w:t>-</w:t>
      </w:r>
      <w:r w:rsidRPr="00703E0E">
        <w:rPr>
          <w:lang w:val="en-GB"/>
        </w:rPr>
        <w:t xml:space="preserve">pest complex. Trade of a mixture containing endosulfan is allowed provided the exporting Party and importing Party have registered </w:t>
      </w:r>
      <w:r w:rsidR="000E12EB">
        <w:rPr>
          <w:lang w:val="en-GB"/>
        </w:rPr>
        <w:t xml:space="preserve">a specific exemption for </w:t>
      </w:r>
      <w:r w:rsidRPr="00703E0E">
        <w:rPr>
          <w:lang w:val="en-GB"/>
        </w:rPr>
        <w:t xml:space="preserve">the use </w:t>
      </w:r>
      <w:r w:rsidR="000E12EB">
        <w:rPr>
          <w:lang w:val="en-GB"/>
        </w:rPr>
        <w:t>of</w:t>
      </w:r>
      <w:r w:rsidR="000E12EB" w:rsidRPr="00703E0E">
        <w:rPr>
          <w:lang w:val="en-GB"/>
        </w:rPr>
        <w:t xml:space="preserve"> </w:t>
      </w:r>
      <w:r w:rsidRPr="00703E0E">
        <w:rPr>
          <w:lang w:val="en-GB"/>
        </w:rPr>
        <w:t>the same crop</w:t>
      </w:r>
      <w:r w:rsidR="00DA1A54">
        <w:rPr>
          <w:lang w:val="en-GB"/>
        </w:rPr>
        <w:t>-</w:t>
      </w:r>
      <w:r w:rsidRPr="00703E0E">
        <w:rPr>
          <w:lang w:val="en-GB"/>
        </w:rPr>
        <w:t>pest complex.</w:t>
      </w:r>
    </w:p>
    <w:p w:rsidR="003741BF" w:rsidRPr="00703E0E" w:rsidRDefault="003741BF" w:rsidP="00A74348">
      <w:pPr>
        <w:pStyle w:val="BulletLevel1"/>
        <w:rPr>
          <w:lang w:val="en-GB"/>
        </w:rPr>
      </w:pPr>
      <w:r w:rsidRPr="00CD1E71">
        <w:rPr>
          <w:b/>
          <w:lang w:val="en-GB"/>
        </w:rPr>
        <w:t>DDT</w:t>
      </w:r>
      <w:r w:rsidRPr="00703E0E">
        <w:rPr>
          <w:lang w:val="en-GB"/>
        </w:rPr>
        <w:t>:</w:t>
      </w:r>
      <w:r w:rsidRPr="00703E0E">
        <w:rPr>
          <w:i/>
          <w:lang w:val="en-GB"/>
        </w:rPr>
        <w:t xml:space="preserve"> </w:t>
      </w:r>
      <w:r w:rsidRPr="00703E0E">
        <w:rPr>
          <w:lang w:val="en-GB"/>
        </w:rPr>
        <w:t xml:space="preserve">Trade of DDT as a substance is allowed provided the exporting </w:t>
      </w:r>
      <w:r>
        <w:rPr>
          <w:lang w:val="en-GB"/>
        </w:rPr>
        <w:t>P</w:t>
      </w:r>
      <w:r w:rsidRPr="00703E0E">
        <w:rPr>
          <w:lang w:val="en-GB"/>
        </w:rPr>
        <w:t xml:space="preserve">arty has notified the Secretariat of the intention to produce it </w:t>
      </w:r>
      <w:r w:rsidR="000E12EB">
        <w:rPr>
          <w:lang w:val="en-GB"/>
        </w:rPr>
        <w:t xml:space="preserve">for the acceptable purpose </w:t>
      </w:r>
      <w:r w:rsidRPr="00703E0E">
        <w:rPr>
          <w:lang w:val="en-GB"/>
        </w:rPr>
        <w:t>and the importing Party has notified the Secretariat of the intention to use it for the acceptable purpose. Trade of a mixture containing DDT is allowed provided the exporting Party and the importing Party have notified the Secretariat of the intention to use DDT for the acceptable purpose.</w:t>
      </w:r>
    </w:p>
    <w:p w:rsidR="003741BF" w:rsidRPr="00703E0E" w:rsidRDefault="00541912" w:rsidP="00A74348">
      <w:pPr>
        <w:pStyle w:val="BulletLevel1"/>
        <w:rPr>
          <w:b/>
          <w:lang w:val="en-GB"/>
        </w:rPr>
      </w:pPr>
      <w:r>
        <w:rPr>
          <w:b/>
          <w:lang w:val="en-GB"/>
        </w:rPr>
        <w:t>T</w:t>
      </w:r>
      <w:r w:rsidR="003741BF" w:rsidRPr="00CD1E71">
        <w:rPr>
          <w:b/>
          <w:lang w:val="en-GB"/>
        </w:rPr>
        <w:t>etrabromodiphenyl ether and pentabromodiphenyl ether or hexabromodiphenyl ether and heptabromodiphenyl ether</w:t>
      </w:r>
      <w:r w:rsidR="003741BF" w:rsidRPr="00703E0E">
        <w:rPr>
          <w:lang w:val="en-GB"/>
        </w:rPr>
        <w:t>: Export and import for the recycling of articles that contain</w:t>
      </w:r>
      <w:r w:rsidR="00CC045A">
        <w:rPr>
          <w:lang w:val="en-GB"/>
        </w:rPr>
        <w:t xml:space="preserve"> these chemicals </w:t>
      </w:r>
      <w:r w:rsidR="003741BF" w:rsidRPr="00703E0E">
        <w:rPr>
          <w:lang w:val="en-GB"/>
        </w:rPr>
        <w:t xml:space="preserve">are allowed provided the exporting Party and the importing Party have notified the </w:t>
      </w:r>
      <w:r w:rsidR="000E12EB">
        <w:rPr>
          <w:lang w:val="en-GB"/>
        </w:rPr>
        <w:t xml:space="preserve">specific </w:t>
      </w:r>
      <w:r w:rsidR="003741BF" w:rsidRPr="00703E0E">
        <w:rPr>
          <w:lang w:val="en-GB"/>
        </w:rPr>
        <w:t>exemption for recycling to the Secretariat. The exporting Party should take steps to prevent exports of such articles that contain levels/concentrations of commercial PentaBDE or commercial OctaBDE exceeding those permitted for the sale, use, import, or manufacture of those articles within the territory of the Party.</w:t>
      </w:r>
    </w:p>
    <w:p w:rsidR="003741BF" w:rsidRPr="00703E0E" w:rsidRDefault="003741BF" w:rsidP="00A74348">
      <w:pPr>
        <w:pStyle w:val="BulletLevel1"/>
        <w:rPr>
          <w:lang w:val="en-GB"/>
        </w:rPr>
      </w:pPr>
      <w:r w:rsidRPr="00CD1E71">
        <w:rPr>
          <w:b/>
          <w:lang w:val="en-GB"/>
        </w:rPr>
        <w:t>PFOS, its salts, PFOSF</w:t>
      </w:r>
      <w:r w:rsidRPr="00F40B1E">
        <w:rPr>
          <w:b/>
          <w:lang w:val="en-GB"/>
        </w:rPr>
        <w:t xml:space="preserve"> </w:t>
      </w:r>
      <w:r w:rsidRPr="00CD1E71">
        <w:rPr>
          <w:b/>
          <w:lang w:val="en-GB"/>
        </w:rPr>
        <w:t>and PFOS-related chemicals as substances, in mixtures, and in articles containing these chemicals</w:t>
      </w:r>
      <w:r w:rsidRPr="00703E0E">
        <w:rPr>
          <w:lang w:val="en-GB"/>
        </w:rPr>
        <w:t xml:space="preserve">: </w:t>
      </w:r>
    </w:p>
    <w:p w:rsidR="003741BF" w:rsidRDefault="003741BF" w:rsidP="000662DB">
      <w:pPr>
        <w:pStyle w:val="BulletLevel1"/>
        <w:numPr>
          <w:ilvl w:val="1"/>
          <w:numId w:val="2"/>
        </w:numPr>
        <w:ind w:left="1170"/>
        <w:rPr>
          <w:lang w:val="en-GB"/>
        </w:rPr>
      </w:pPr>
      <w:r w:rsidRPr="00703E0E">
        <w:rPr>
          <w:lang w:val="en-GB"/>
        </w:rPr>
        <w:t>Trade of PFOS, its salts, PFOSF or PFOS-related chemicals as a substance is allowed provided the exporting Party has registered</w:t>
      </w:r>
      <w:r w:rsidR="000E12EB">
        <w:rPr>
          <w:lang w:val="en-GB"/>
        </w:rPr>
        <w:t xml:space="preserve"> </w:t>
      </w:r>
      <w:r w:rsidR="00860563">
        <w:rPr>
          <w:lang w:val="en-GB"/>
        </w:rPr>
        <w:t xml:space="preserve">the production/use </w:t>
      </w:r>
      <w:r w:rsidRPr="00703E0E">
        <w:rPr>
          <w:lang w:val="en-GB"/>
        </w:rPr>
        <w:t>for a certain specific exemption or notified its intention to produce</w:t>
      </w:r>
      <w:r w:rsidR="00860563">
        <w:rPr>
          <w:lang w:val="en-GB"/>
        </w:rPr>
        <w:t>/use</w:t>
      </w:r>
      <w:r w:rsidRPr="00703E0E">
        <w:rPr>
          <w:lang w:val="en-GB"/>
        </w:rPr>
        <w:t xml:space="preserve"> the substance for a certain acceptable purpose</w:t>
      </w:r>
      <w:r w:rsidR="00860563">
        <w:rPr>
          <w:lang w:val="en-GB"/>
        </w:rPr>
        <w:t>,</w:t>
      </w:r>
      <w:r w:rsidRPr="00703E0E">
        <w:rPr>
          <w:lang w:val="en-GB"/>
        </w:rPr>
        <w:t xml:space="preserve"> and the importing Party has registered the same specific exemption</w:t>
      </w:r>
      <w:r w:rsidR="00860563">
        <w:rPr>
          <w:lang w:val="en-GB"/>
        </w:rPr>
        <w:t xml:space="preserve"> for use</w:t>
      </w:r>
      <w:r w:rsidRPr="00703E0E">
        <w:rPr>
          <w:lang w:val="en-GB"/>
        </w:rPr>
        <w:t xml:space="preserve"> or the importing </w:t>
      </w:r>
      <w:r>
        <w:rPr>
          <w:lang w:val="en-GB"/>
        </w:rPr>
        <w:t>P</w:t>
      </w:r>
      <w:r w:rsidRPr="00703E0E">
        <w:rPr>
          <w:lang w:val="en-GB"/>
        </w:rPr>
        <w:t xml:space="preserve">arty has notified the intention to use the substance for the same acceptable purpose. </w:t>
      </w:r>
    </w:p>
    <w:p w:rsidR="003741BF" w:rsidRDefault="003741BF" w:rsidP="000662DB">
      <w:pPr>
        <w:pStyle w:val="BulletLevel1"/>
        <w:numPr>
          <w:ilvl w:val="1"/>
          <w:numId w:val="2"/>
        </w:numPr>
        <w:ind w:left="1170"/>
        <w:rPr>
          <w:lang w:val="en-GB"/>
        </w:rPr>
      </w:pPr>
      <w:r w:rsidRPr="00703E0E">
        <w:rPr>
          <w:lang w:val="en-GB"/>
        </w:rPr>
        <w:t>Trade is allowed for PFOS, its salts, PFOSF or PFOS</w:t>
      </w:r>
      <w:r>
        <w:rPr>
          <w:lang w:val="en-GB"/>
        </w:rPr>
        <w:t>-</w:t>
      </w:r>
      <w:r w:rsidRPr="00703E0E">
        <w:rPr>
          <w:lang w:val="en-GB"/>
        </w:rPr>
        <w:t xml:space="preserve">related chemicals contained in a mixture or in an article provided the exporting Party has registered the mixture or the article for a certain specific exemption or notified its intention to use the mixture or the article for a certain acceptable purpose and the importing Party has registered the use of the mixture or the article </w:t>
      </w:r>
      <w:r w:rsidRPr="00703E0E">
        <w:rPr>
          <w:lang w:val="en-GB"/>
        </w:rPr>
        <w:lastRenderedPageBreak/>
        <w:t xml:space="preserve">for the same specific exemption or the importing Party has notified the intention to use the mixture or the article for the same acceptable purpose. </w:t>
      </w:r>
    </w:p>
    <w:p w:rsidR="00973F56" w:rsidRDefault="00973F56" w:rsidP="00973F56">
      <w:pPr>
        <w:pStyle w:val="CommentText"/>
        <w:rPr>
          <w:sz w:val="22"/>
          <w:szCs w:val="22"/>
        </w:rPr>
      </w:pPr>
      <w:r w:rsidRPr="007D35BE">
        <w:rPr>
          <w:sz w:val="22"/>
          <w:szCs w:val="22"/>
        </w:rPr>
        <w:t>POPs can also be legally traded between Parties and non-Parties (exported or imported), in accordance with the procedures given in the Convention. POPs can be legally traded between non-Parties.</w:t>
      </w:r>
    </w:p>
    <w:p w:rsidR="00D02FBF" w:rsidRPr="00D02FBF" w:rsidRDefault="00D02FBF" w:rsidP="00973F56">
      <w:pPr>
        <w:pStyle w:val="CommentText"/>
        <w:rPr>
          <w:sz w:val="22"/>
          <w:szCs w:val="22"/>
        </w:rPr>
      </w:pPr>
      <w:r>
        <w:rPr>
          <w:sz w:val="22"/>
          <w:szCs w:val="22"/>
        </w:rPr>
        <w:t>Export to a non-</w:t>
      </w:r>
      <w:r w:rsidRPr="00D02FBF">
        <w:rPr>
          <w:sz w:val="22"/>
          <w:szCs w:val="22"/>
        </w:rPr>
        <w:t xml:space="preserve">Party State is regulated by paragraph 2.b of Article 3 of the Stockholm Convention, which states that each Party to the Convention needs to take measures to ensure that a chemical listed in Annex A for which any production or use specific exemption is in effect or a chemical listed in Annex B for which any production or use specific exemption or acceptable purpose is in effect, taking into account any relevant provisions in existing international prior informed consent instruments, is exported only </w:t>
      </w:r>
      <w:r>
        <w:rPr>
          <w:sz w:val="22"/>
          <w:szCs w:val="22"/>
        </w:rPr>
        <w:t>in certain conditions:</w:t>
      </w:r>
    </w:p>
    <w:p w:rsidR="00D02FBF" w:rsidRPr="00DD3D17" w:rsidRDefault="00D02FBF" w:rsidP="00DD3D17">
      <w:pPr>
        <w:numPr>
          <w:ilvl w:val="0"/>
          <w:numId w:val="12"/>
        </w:numPr>
        <w:shd w:val="clear" w:color="auto" w:fill="FFFFFF" w:themeFill="background1"/>
        <w:snapToGrid/>
        <w:spacing w:before="100" w:beforeAutospacing="1" w:after="100" w:afterAutospacing="1"/>
        <w:jc w:val="left"/>
      </w:pPr>
      <w:r w:rsidRPr="00DD3D17">
        <w:t>For the purpose of environmentally sound disposal as set forth in paragraph 1 (d) of Article 6;</w:t>
      </w:r>
    </w:p>
    <w:p w:rsidR="00D02FBF" w:rsidRPr="00DD3D17" w:rsidRDefault="00D02FBF" w:rsidP="00DD3D17">
      <w:pPr>
        <w:numPr>
          <w:ilvl w:val="0"/>
          <w:numId w:val="12"/>
        </w:numPr>
        <w:shd w:val="clear" w:color="auto" w:fill="FFFFFF" w:themeFill="background1"/>
        <w:snapToGrid/>
        <w:spacing w:before="100" w:beforeAutospacing="1" w:after="100" w:afterAutospacing="1"/>
        <w:jc w:val="left"/>
      </w:pPr>
      <w:r w:rsidRPr="00DD3D17">
        <w:t>To a Party which is permitted to use that chemical under Annex A or Annex B; or</w:t>
      </w:r>
    </w:p>
    <w:p w:rsidR="00D02FBF" w:rsidRPr="00DD3D17" w:rsidRDefault="00D02FBF" w:rsidP="00DD3D17">
      <w:pPr>
        <w:numPr>
          <w:ilvl w:val="0"/>
          <w:numId w:val="12"/>
        </w:numPr>
        <w:shd w:val="clear" w:color="auto" w:fill="FFFFFF" w:themeFill="background1"/>
        <w:snapToGrid/>
        <w:spacing w:before="100" w:beforeAutospacing="1" w:after="100" w:afterAutospacing="1"/>
        <w:jc w:val="left"/>
      </w:pPr>
      <w:r w:rsidRPr="00DD3D17">
        <w:t>To a State not Party to this Convention which has provided an annual certification to the exporting Party. Such certification shall specify the intended use of the chemical and include a statement that, with respect to that chemical, the importing State is committed to:</w:t>
      </w:r>
    </w:p>
    <w:p w:rsidR="00D02FBF" w:rsidRPr="00DD3D17" w:rsidRDefault="00D02FBF" w:rsidP="00DD3D17">
      <w:pPr>
        <w:numPr>
          <w:ilvl w:val="1"/>
          <w:numId w:val="13"/>
        </w:numPr>
        <w:shd w:val="clear" w:color="auto" w:fill="FFFFFF" w:themeFill="background1"/>
        <w:snapToGrid/>
        <w:spacing w:before="100" w:beforeAutospacing="1" w:after="100" w:afterAutospacing="1"/>
        <w:ind w:left="1440" w:hanging="360"/>
        <w:jc w:val="left"/>
      </w:pPr>
      <w:r w:rsidRPr="00DD3D17">
        <w:t>Protect human health and the environment by taking the necessary measures to minimize or prevent releases;</w:t>
      </w:r>
    </w:p>
    <w:p w:rsidR="00D02FBF" w:rsidRPr="00DD3D17" w:rsidRDefault="00D02FBF" w:rsidP="00DD3D17">
      <w:pPr>
        <w:numPr>
          <w:ilvl w:val="1"/>
          <w:numId w:val="13"/>
        </w:numPr>
        <w:shd w:val="clear" w:color="auto" w:fill="FFFFFF" w:themeFill="background1"/>
        <w:snapToGrid/>
        <w:spacing w:before="100" w:beforeAutospacing="1" w:after="100" w:afterAutospacing="1"/>
        <w:ind w:left="1440" w:hanging="360"/>
        <w:jc w:val="left"/>
      </w:pPr>
      <w:r w:rsidRPr="00DD3D17">
        <w:t>Comply with the provisions of paragraph 1 of Article 6; and</w:t>
      </w:r>
    </w:p>
    <w:p w:rsidR="00D02FBF" w:rsidRPr="00DD3D17" w:rsidRDefault="00D02FBF" w:rsidP="00DD3D17">
      <w:pPr>
        <w:numPr>
          <w:ilvl w:val="1"/>
          <w:numId w:val="13"/>
        </w:numPr>
        <w:shd w:val="clear" w:color="auto" w:fill="FFFFFF" w:themeFill="background1"/>
        <w:snapToGrid/>
        <w:spacing w:before="100" w:beforeAutospacing="1" w:after="100" w:afterAutospacing="1"/>
        <w:ind w:left="1440" w:hanging="360"/>
        <w:jc w:val="left"/>
      </w:pPr>
      <w:r w:rsidRPr="00DD3D17">
        <w:t>Comply, where appropriate, with the provisions of paragraph 2 of Part II of Annex B.</w:t>
      </w:r>
    </w:p>
    <w:p w:rsidR="00D02FBF" w:rsidRPr="00D02FBF" w:rsidRDefault="00D02FBF" w:rsidP="00DD3D17">
      <w:pPr>
        <w:pStyle w:val="NormalWeb"/>
        <w:shd w:val="clear" w:color="auto" w:fill="FFFFFF" w:themeFill="background1"/>
        <w:rPr>
          <w:rFonts w:ascii="Calibri" w:eastAsia="MS Mincho" w:hAnsi="Calibri"/>
          <w:sz w:val="22"/>
          <w:szCs w:val="22"/>
          <w:lang w:val="en-GB" w:eastAsia="en-US" w:bidi="ar-SA"/>
        </w:rPr>
      </w:pPr>
      <w:r w:rsidRPr="00D02FBF">
        <w:rPr>
          <w:rFonts w:ascii="Calibri" w:eastAsia="MS Mincho" w:hAnsi="Calibri"/>
          <w:sz w:val="22"/>
          <w:szCs w:val="22"/>
          <w:lang w:val="en-GB" w:eastAsia="en-US" w:bidi="ar-SA"/>
        </w:rPr>
        <w:t xml:space="preserve">The certification shall also include any appropriate supporting documentation, such as legislation, regulatory instruments, or administrative or policy guidelines. The exporting Party shall transmit the certification to the Secretariat within sixty days of receipt.” At its fifth meeting, the Conference of the Parties requested the Secretariat to prepare a draft template for the certification pursuant to paragraph 2 (b) (iii) of Article 3 for use on an interim basis and for consideration by the Conference of the Parties at its sixth meeting (paragraph 6 of decision </w:t>
      </w:r>
      <w:hyperlink r:id="rId19" w:anchor="LiveContent[SC-5/10]" w:history="1">
        <w:r w:rsidRPr="00D02FBF">
          <w:rPr>
            <w:rFonts w:ascii="Calibri" w:eastAsia="MS Mincho" w:hAnsi="Calibri"/>
            <w:sz w:val="22"/>
            <w:szCs w:val="22"/>
            <w:lang w:val="en-GB" w:eastAsia="en-US" w:bidi="ar-SA"/>
          </w:rPr>
          <w:t>SC-5/10</w:t>
        </w:r>
      </w:hyperlink>
      <w:r w:rsidRPr="00D02FBF">
        <w:rPr>
          <w:rFonts w:ascii="Calibri" w:eastAsia="MS Mincho" w:hAnsi="Calibri"/>
          <w:sz w:val="22"/>
          <w:szCs w:val="22"/>
          <w:lang w:val="en-GB" w:eastAsia="en-US" w:bidi="ar-SA"/>
        </w:rPr>
        <w:t xml:space="preserve">). Accordingly, a </w:t>
      </w:r>
      <w:hyperlink r:id="rId20" w:history="1">
        <w:r w:rsidRPr="00D02FBF">
          <w:rPr>
            <w:rFonts w:ascii="Calibri" w:eastAsia="MS Mincho" w:hAnsi="Calibri"/>
            <w:sz w:val="22"/>
            <w:szCs w:val="22"/>
            <w:lang w:val="en-GB" w:eastAsia="en-US" w:bidi="ar-SA"/>
          </w:rPr>
          <w:t>draft template</w:t>
        </w:r>
      </w:hyperlink>
      <w:r w:rsidRPr="00D02FBF">
        <w:rPr>
          <w:rFonts w:ascii="Calibri" w:eastAsia="MS Mincho" w:hAnsi="Calibri"/>
          <w:sz w:val="22"/>
          <w:szCs w:val="22"/>
          <w:lang w:val="en-GB" w:eastAsia="en-US" w:bidi="ar-SA"/>
        </w:rPr>
        <w:t xml:space="preserve"> was prepar</w:t>
      </w:r>
      <w:r w:rsidR="00DD3D17">
        <w:rPr>
          <w:rFonts w:ascii="Calibri" w:eastAsia="MS Mincho" w:hAnsi="Calibri"/>
          <w:sz w:val="22"/>
          <w:szCs w:val="22"/>
          <w:lang w:val="en-GB" w:eastAsia="en-US" w:bidi="ar-SA"/>
        </w:rPr>
        <w:t>ed for use on an interim basis</w:t>
      </w:r>
      <w:r w:rsidR="00E57CCB">
        <w:rPr>
          <w:rFonts w:ascii="Calibri" w:eastAsia="MS Mincho" w:hAnsi="Calibri"/>
          <w:sz w:val="22"/>
          <w:szCs w:val="22"/>
          <w:lang w:val="en-GB" w:eastAsia="en-US" w:bidi="ar-SA"/>
        </w:rPr>
        <w:t>.</w:t>
      </w:r>
      <w:r w:rsidR="00DD3D17">
        <w:rPr>
          <w:rStyle w:val="FootnoteReference"/>
          <w:rFonts w:ascii="Calibri" w:eastAsia="MS Mincho" w:hAnsi="Calibri"/>
          <w:sz w:val="22"/>
          <w:szCs w:val="22"/>
          <w:lang w:val="en-GB" w:eastAsia="en-US" w:bidi="ar-SA"/>
        </w:rPr>
        <w:footnoteReference w:id="5"/>
      </w:r>
      <w:r w:rsidR="00DD3D17">
        <w:rPr>
          <w:rFonts w:ascii="Calibri" w:eastAsia="MS Mincho" w:hAnsi="Calibri"/>
          <w:sz w:val="22"/>
          <w:szCs w:val="22"/>
          <w:lang w:val="en-GB" w:eastAsia="en-US" w:bidi="ar-SA"/>
        </w:rPr>
        <w:t xml:space="preserve"> </w:t>
      </w:r>
    </w:p>
    <w:p w:rsidR="003741BF" w:rsidRPr="00703E0E" w:rsidRDefault="003741BF" w:rsidP="008A284A">
      <w:pPr>
        <w:spacing w:before="120"/>
      </w:pPr>
      <w:r w:rsidRPr="00D02FBF">
        <w:t xml:space="preserve">Additional information on the regulation of POPs by the Stockholm Convention can be found in </w:t>
      </w:r>
      <w:r w:rsidR="00641AC8" w:rsidRPr="00D02FBF">
        <w:t xml:space="preserve">the document entitled </w:t>
      </w:r>
      <w:r w:rsidR="00641AC8" w:rsidRPr="00D02FBF">
        <w:rPr>
          <w:i/>
        </w:rPr>
        <w:t>Information on chemicals, mixtures, and articles containing POPs listed in Annexes A and B of the Stockholm Convention</w:t>
      </w:r>
      <w:r w:rsidRPr="00D02FBF">
        <w:rPr>
          <w:i/>
        </w:rPr>
        <w:t>.</w:t>
      </w:r>
      <w:r w:rsidRPr="00D02FBF">
        <w:t xml:space="preserve"> Examples </w:t>
      </w:r>
      <w:bookmarkStart w:id="23" w:name="_Toc310772900"/>
      <w:bookmarkStart w:id="24" w:name="_Toc310772901"/>
      <w:bookmarkStart w:id="25" w:name="_Toc310772902"/>
      <w:bookmarkStart w:id="26" w:name="_Toc307830751"/>
      <w:bookmarkEnd w:id="23"/>
      <w:bookmarkEnd w:id="24"/>
      <w:bookmarkEnd w:id="25"/>
      <w:r w:rsidRPr="00D02FBF">
        <w:t xml:space="preserve">and decision trees for the activities required by the different stakeholders involved in the control of the legal trade of lindane between Parties (and between a non-Party and a Party) are given in </w:t>
      </w:r>
      <w:r w:rsidR="005A623A" w:rsidRPr="00D02FBF">
        <w:t>the document</w:t>
      </w:r>
      <w:r w:rsidR="00AF5106" w:rsidRPr="00E2584E">
        <w:t xml:space="preserve"> </w:t>
      </w:r>
      <w:r w:rsidR="00AF5106" w:rsidRPr="00E2584E">
        <w:rPr>
          <w:i/>
        </w:rPr>
        <w:t>Examples and decisions tress on the control of legal international trade of lindane</w:t>
      </w:r>
      <w:r w:rsidRPr="00E2584E">
        <w:t>. To facilitate</w:t>
      </w:r>
      <w:r w:rsidRPr="00703E0E">
        <w:t xml:space="preserve"> the control of POPs, national authorities can check whether there are notifications of specific exemptions</w:t>
      </w:r>
      <w:r w:rsidRPr="00703E0E">
        <w:rPr>
          <w:rStyle w:val="FootnoteReference"/>
          <w:rFonts w:ascii="Times New Roman" w:hAnsi="Times New Roman"/>
        </w:rPr>
        <w:footnoteReference w:id="6"/>
      </w:r>
      <w:r w:rsidRPr="00703E0E">
        <w:t xml:space="preserve"> or acceptable purposes</w:t>
      </w:r>
      <w:r w:rsidRPr="00703E0E">
        <w:rPr>
          <w:rStyle w:val="FootnoteReference"/>
          <w:rFonts w:ascii="Times New Roman" w:hAnsi="Times New Roman"/>
        </w:rPr>
        <w:footnoteReference w:id="7"/>
      </w:r>
      <w:r w:rsidRPr="00703E0E">
        <w:t xml:space="preserve"> by t</w:t>
      </w:r>
      <w:r>
        <w:t>he exporting and importing Parties</w:t>
      </w:r>
      <w:r w:rsidRPr="00703E0E">
        <w:t xml:space="preserve"> on the website of the Convention.</w:t>
      </w:r>
    </w:p>
    <w:p w:rsidR="003741BF" w:rsidRPr="00AF5106" w:rsidRDefault="000103C5" w:rsidP="006115BA">
      <w:pPr>
        <w:rPr>
          <w:bCs/>
          <w:lang w:val="en-US"/>
        </w:rPr>
      </w:pPr>
      <w:r>
        <w:rPr>
          <w:lang w:val="en-US"/>
        </w:rPr>
        <w:t>Wastes originating from an allowed use of the listed POPs in question (lindane; DDT; endosulfan; tetrabromodiphenyl ether and pentabromodiphenyl ether or hexabromodiphenyl ether and heptabromodiphenyl ether; PFOS, its salts, PFOSF) as substances, in mixtures, and in articles are subject to Article 6 of the Convention. Tables that summarize the obligations related to these POPs under the</w:t>
      </w:r>
      <w:r w:rsidR="004365EE">
        <w:rPr>
          <w:lang w:val="en-US"/>
        </w:rPr>
        <w:t xml:space="preserve"> Convention are contained in </w:t>
      </w:r>
      <w:r w:rsidR="00AF5106" w:rsidRPr="00E2584E">
        <w:rPr>
          <w:bCs/>
          <w:i/>
        </w:rPr>
        <w:t>Summary tables of legal obligations for Lindane, Endosulfan, DDT, and PFOS, its salts, PFOSF and PFOS related chemicals</w:t>
      </w:r>
      <w:r w:rsidR="00AF5106" w:rsidRPr="00E2584E">
        <w:rPr>
          <w:bCs/>
          <w:lang w:val="en-US"/>
        </w:rPr>
        <w:t>.</w:t>
      </w:r>
      <w:r w:rsidR="00AF5106">
        <w:rPr>
          <w:bCs/>
          <w:lang w:val="en-US"/>
        </w:rPr>
        <w:t xml:space="preserve"> </w:t>
      </w:r>
    </w:p>
    <w:p w:rsidR="003741BF" w:rsidRPr="00703E0E" w:rsidRDefault="003741BF" w:rsidP="006115BA"/>
    <w:p w:rsidR="003741BF" w:rsidRDefault="003741BF">
      <w:pPr>
        <w:pStyle w:val="Heading3"/>
        <w:rPr>
          <w:lang w:eastAsia="de-DE"/>
        </w:rPr>
      </w:pPr>
      <w:bookmarkStart w:id="27" w:name="_Toc326160684"/>
      <w:r w:rsidRPr="00703E0E">
        <w:rPr>
          <w:lang w:eastAsia="de-DE"/>
        </w:rPr>
        <w:lastRenderedPageBreak/>
        <w:t xml:space="preserve">Obligations for POPs from other international </w:t>
      </w:r>
      <w:r>
        <w:rPr>
          <w:lang w:eastAsia="de-DE"/>
        </w:rPr>
        <w:t>m</w:t>
      </w:r>
      <w:r w:rsidRPr="00703E0E">
        <w:rPr>
          <w:lang w:eastAsia="de-DE"/>
        </w:rPr>
        <w:t xml:space="preserve">ultilateral </w:t>
      </w:r>
      <w:r>
        <w:rPr>
          <w:lang w:eastAsia="de-DE"/>
        </w:rPr>
        <w:t>e</w:t>
      </w:r>
      <w:r w:rsidRPr="00703E0E">
        <w:rPr>
          <w:lang w:eastAsia="de-DE"/>
        </w:rPr>
        <w:t xml:space="preserve">nvironmental </w:t>
      </w:r>
      <w:r>
        <w:rPr>
          <w:lang w:eastAsia="de-DE"/>
        </w:rPr>
        <w:t>a</w:t>
      </w:r>
      <w:r w:rsidRPr="00703E0E">
        <w:rPr>
          <w:lang w:eastAsia="de-DE"/>
        </w:rPr>
        <w:t>greements (MEA): Rotterdam Convention and Basel Convention</w:t>
      </w:r>
      <w:bookmarkEnd w:id="27"/>
    </w:p>
    <w:p w:rsidR="003741BF" w:rsidRPr="00703E0E" w:rsidRDefault="003741BF" w:rsidP="005D47C7">
      <w:pPr>
        <w:keepNext/>
        <w:rPr>
          <w:rFonts w:cs="Calibri"/>
        </w:rPr>
      </w:pPr>
      <w:r w:rsidRPr="00703E0E">
        <w:rPr>
          <w:rFonts w:cs="Calibri"/>
        </w:rPr>
        <w:t>The Rotterdam Convention</w:t>
      </w:r>
      <w:r w:rsidRPr="00703E0E">
        <w:rPr>
          <w:rStyle w:val="FootnoteReference"/>
          <w:rFonts w:cs="Calibri"/>
        </w:rPr>
        <w:footnoteReference w:id="8"/>
      </w:r>
      <w:r w:rsidRPr="00703E0E">
        <w:rPr>
          <w:rFonts w:cs="Calibri"/>
        </w:rPr>
        <w:t xml:space="preserve"> covers pesticides and industrial chemicals that have been banned or severely restricted for health or environmental reasons by Parties and have been notified by Parties for inclusion in the </w:t>
      </w:r>
      <w:r w:rsidRPr="00703E0E">
        <w:t xml:space="preserve">Prior </w:t>
      </w:r>
      <w:r w:rsidR="0089180F" w:rsidRPr="00703E0E">
        <w:t>Informed Consent</w:t>
      </w:r>
      <w:r w:rsidRPr="00703E0E">
        <w:rPr>
          <w:rFonts w:cs="Calibri"/>
        </w:rPr>
        <w:t xml:space="preserve"> (PIC) procedure. Once a chemical is included in Annex III, a Decision Guidance Document (DGD)</w:t>
      </w:r>
      <w:r>
        <w:rPr>
          <w:rFonts w:cs="Calibri"/>
        </w:rPr>
        <w:t>,</w:t>
      </w:r>
      <w:r w:rsidRPr="00703E0E">
        <w:rPr>
          <w:rFonts w:cs="Calibri"/>
        </w:rPr>
        <w:t xml:space="preserve"> containing information about the chemical and the regulatory decisions to ban or severely restrict it for health or environmental reasons, is circulated to all Parties. Parties’ response may consist of either a final decision (to allow import of the chemical, not to allow import, or to allow import subject to specified conditions) or an interim response. The import decisions are circulated and exporting Parties are obligated under the </w:t>
      </w:r>
      <w:r>
        <w:rPr>
          <w:rFonts w:cs="Calibri"/>
        </w:rPr>
        <w:t xml:space="preserve">Rotterdam </w:t>
      </w:r>
      <w:r w:rsidRPr="00703E0E">
        <w:rPr>
          <w:rFonts w:cs="Calibri"/>
        </w:rPr>
        <w:t xml:space="preserve">Convention to take appropriate measures to ensure that exporters within </w:t>
      </w:r>
      <w:r>
        <w:rPr>
          <w:rFonts w:cs="Calibri"/>
        </w:rPr>
        <w:t>their</w:t>
      </w:r>
      <w:r w:rsidRPr="00703E0E">
        <w:rPr>
          <w:rFonts w:cs="Calibri"/>
        </w:rPr>
        <w:t xml:space="preserve"> jurisdiction comply with these decisions. Some chemicals in Annex III of the Rotterdam Convention are also POPs listed in the Annexes of the Stockholm Convention. When these POPs are exported and imported, the obligations</w:t>
      </w:r>
      <w:r w:rsidR="00C6252D">
        <w:rPr>
          <w:rFonts w:cs="Calibri"/>
        </w:rPr>
        <w:t>, as</w:t>
      </w:r>
      <w:r w:rsidRPr="00703E0E">
        <w:rPr>
          <w:rFonts w:cs="Calibri"/>
        </w:rPr>
        <w:t xml:space="preserve"> </w:t>
      </w:r>
      <w:r w:rsidR="00C6252D">
        <w:rPr>
          <w:rFonts w:cs="Calibri"/>
        </w:rPr>
        <w:t>set out under both</w:t>
      </w:r>
      <w:r w:rsidRPr="00703E0E">
        <w:rPr>
          <w:rFonts w:cs="Calibri"/>
        </w:rPr>
        <w:t xml:space="preserve"> the Stockholm and Rotterdam Conventions</w:t>
      </w:r>
      <w:r w:rsidR="00C6252D">
        <w:rPr>
          <w:rFonts w:cs="Calibri"/>
        </w:rPr>
        <w:t>,</w:t>
      </w:r>
      <w:r w:rsidRPr="00703E0E">
        <w:rPr>
          <w:rFonts w:cs="Calibri"/>
        </w:rPr>
        <w:t xml:space="preserve"> apply.</w:t>
      </w:r>
    </w:p>
    <w:p w:rsidR="003741BF" w:rsidRDefault="003741BF" w:rsidP="005D47C7">
      <w:pPr>
        <w:keepNext/>
      </w:pPr>
      <w:r w:rsidRPr="00703E0E">
        <w:rPr>
          <w:rFonts w:cs="Calibri"/>
        </w:rPr>
        <w:t>The main provisions of the Basel Convention</w:t>
      </w:r>
      <w:r w:rsidRPr="00703E0E">
        <w:rPr>
          <w:rStyle w:val="FootnoteReference"/>
          <w:rFonts w:cs="Calibri"/>
        </w:rPr>
        <w:footnoteReference w:id="9"/>
      </w:r>
      <w:r w:rsidRPr="00703E0E">
        <w:rPr>
          <w:rFonts w:cs="Calibri"/>
        </w:rPr>
        <w:t xml:space="preserve"> </w:t>
      </w:r>
      <w:r w:rsidR="00C6252D">
        <w:rPr>
          <w:rFonts w:cs="Calibri"/>
        </w:rPr>
        <w:t>aim at</w:t>
      </w:r>
      <w:r w:rsidRPr="00703E0E">
        <w:rPr>
          <w:rFonts w:cs="Calibri"/>
        </w:rPr>
        <w:t xml:space="preserve"> “</w:t>
      </w:r>
      <w:r w:rsidRPr="00703E0E">
        <w:rPr>
          <w:rFonts w:eastAsia="Times New Roman" w:cs="Calibri"/>
          <w:lang w:eastAsia="de-DE"/>
        </w:rPr>
        <w:t xml:space="preserve">the reduction of hazardous waste generation and the promotion of environmentally sound management of hazardous wastes, wherever the place of disposal; the restriction of transboundary movements of hazardous wastes except where it is perceived to be in accordance with the principles of environmentally sound management; and a regulatory system applying to cases where transboundary movements are permissible.” </w:t>
      </w:r>
      <w:r w:rsidRPr="00703E0E">
        <w:t xml:space="preserve">Technical guidelines for the environmentally sound management of waste containing POPs </w:t>
      </w:r>
      <w:r>
        <w:t>have been</w:t>
      </w:r>
      <w:r w:rsidRPr="00703E0E">
        <w:t xml:space="preserve"> </w:t>
      </w:r>
      <w:r w:rsidR="0089180F">
        <w:t xml:space="preserve">developed </w:t>
      </w:r>
      <w:r w:rsidRPr="00703E0E">
        <w:t xml:space="preserve">and are being </w:t>
      </w:r>
      <w:r w:rsidR="0089180F">
        <w:t>updated</w:t>
      </w:r>
      <w:r w:rsidRPr="00703E0E">
        <w:t xml:space="preserve"> by the Basel Convention. The effective export and import control of POPs-containing waste is essential </w:t>
      </w:r>
      <w:r w:rsidR="00C6252D">
        <w:t>under both</w:t>
      </w:r>
      <w:r w:rsidRPr="00703E0E">
        <w:t xml:space="preserve"> the Basel and Stockholm Conventions.</w:t>
      </w:r>
    </w:p>
    <w:p w:rsidR="003741BF" w:rsidRPr="00703E0E" w:rsidRDefault="003741BF" w:rsidP="005D47C7">
      <w:pPr>
        <w:keepNext/>
      </w:pPr>
    </w:p>
    <w:p w:rsidR="003741BF" w:rsidRPr="00703E0E" w:rsidRDefault="003741BF" w:rsidP="00750164">
      <w:pPr>
        <w:pStyle w:val="Heading2"/>
      </w:pPr>
      <w:bookmarkStart w:id="28" w:name="_Toc310772904"/>
      <w:bookmarkStart w:id="29" w:name="_Toc310773365"/>
      <w:bookmarkStart w:id="30" w:name="_Toc310864074"/>
      <w:bookmarkStart w:id="31" w:name="_Toc310866856"/>
      <w:bookmarkStart w:id="32" w:name="_Toc310929562"/>
      <w:bookmarkStart w:id="33" w:name="_Toc310929616"/>
      <w:bookmarkStart w:id="34" w:name="_Toc310929669"/>
      <w:bookmarkStart w:id="35" w:name="_Toc310929842"/>
      <w:bookmarkStart w:id="36" w:name="_Toc311017982"/>
      <w:bookmarkStart w:id="37" w:name="_Toc311018033"/>
      <w:bookmarkStart w:id="38" w:name="_Toc311213158"/>
      <w:bookmarkStart w:id="39" w:name="_Toc326160685"/>
      <w:bookmarkEnd w:id="28"/>
      <w:bookmarkEnd w:id="29"/>
      <w:bookmarkEnd w:id="30"/>
      <w:bookmarkEnd w:id="31"/>
      <w:bookmarkEnd w:id="32"/>
      <w:bookmarkEnd w:id="33"/>
      <w:bookmarkEnd w:id="34"/>
      <w:bookmarkEnd w:id="35"/>
      <w:bookmarkEnd w:id="36"/>
      <w:bookmarkEnd w:id="37"/>
      <w:bookmarkEnd w:id="38"/>
      <w:r w:rsidRPr="00703E0E">
        <w:t>Customs control</w:t>
      </w:r>
      <w:bookmarkEnd w:id="26"/>
      <w:bookmarkEnd w:id="39"/>
    </w:p>
    <w:p w:rsidR="003741BF" w:rsidRPr="00703E0E" w:rsidRDefault="003741BF" w:rsidP="00D42A56">
      <w:pPr>
        <w:rPr>
          <w:lang w:eastAsia="de-DE"/>
        </w:rPr>
      </w:pPr>
      <w:r w:rsidRPr="00703E0E">
        <w:t>Customs control of imported POPs as substances, mixtures, and/or article</w:t>
      </w:r>
      <w:r w:rsidRPr="00703E0E">
        <w:rPr>
          <w:lang w:eastAsia="de-DE"/>
        </w:rPr>
        <w:t>s</w:t>
      </w:r>
      <w:r w:rsidR="00C6252D">
        <w:rPr>
          <w:lang w:eastAsia="de-DE"/>
        </w:rPr>
        <w:t>,</w:t>
      </w:r>
      <w:r w:rsidRPr="00703E0E">
        <w:rPr>
          <w:lang w:eastAsia="de-DE"/>
        </w:rPr>
        <w:t xml:space="preserve"> (</w:t>
      </w:r>
      <w:r w:rsidR="00F82024">
        <w:rPr>
          <w:lang w:eastAsia="de-DE"/>
        </w:rPr>
        <w:t xml:space="preserve">hereunder </w:t>
      </w:r>
      <w:r w:rsidRPr="00703E0E">
        <w:rPr>
          <w:lang w:eastAsia="de-DE"/>
        </w:rPr>
        <w:t xml:space="preserve">referred </w:t>
      </w:r>
      <w:r>
        <w:rPr>
          <w:lang w:eastAsia="de-DE"/>
        </w:rPr>
        <w:t xml:space="preserve">to </w:t>
      </w:r>
      <w:r w:rsidRPr="00703E0E">
        <w:rPr>
          <w:lang w:eastAsia="de-DE"/>
        </w:rPr>
        <w:t xml:space="preserve">as goods) can be undertaken </w:t>
      </w:r>
      <w:r w:rsidR="00F82024">
        <w:rPr>
          <w:lang w:eastAsia="de-DE"/>
        </w:rPr>
        <w:t>by means of</w:t>
      </w:r>
      <w:r w:rsidR="00F82024" w:rsidRPr="00703E0E">
        <w:rPr>
          <w:lang w:eastAsia="de-DE"/>
        </w:rPr>
        <w:t xml:space="preserve"> </w:t>
      </w:r>
      <w:r w:rsidRPr="00703E0E">
        <w:rPr>
          <w:lang w:eastAsia="de-DE"/>
        </w:rPr>
        <w:t xml:space="preserve">the following three approaches or tools. The intensity of control and the resource requirements increase from tool to </w:t>
      </w:r>
      <w:r>
        <w:rPr>
          <w:lang w:eastAsia="de-DE"/>
        </w:rPr>
        <w:t>tool:</w:t>
      </w:r>
    </w:p>
    <w:p w:rsidR="003741BF" w:rsidRDefault="003741BF" w:rsidP="00F525C6">
      <w:pPr>
        <w:numPr>
          <w:ilvl w:val="0"/>
          <w:numId w:val="5"/>
        </w:numPr>
        <w:ind w:left="630" w:hanging="360"/>
      </w:pPr>
      <w:r>
        <w:t>C</w:t>
      </w:r>
      <w:r w:rsidRPr="00703E0E">
        <w:t>ontrol of customs papers related to the imported POPs as goods</w:t>
      </w:r>
    </w:p>
    <w:p w:rsidR="003741BF" w:rsidRDefault="003741BF" w:rsidP="00F525C6">
      <w:pPr>
        <w:numPr>
          <w:ilvl w:val="0"/>
          <w:numId w:val="5"/>
        </w:numPr>
        <w:ind w:left="630" w:hanging="360"/>
      </w:pPr>
      <w:r>
        <w:t>I</w:t>
      </w:r>
      <w:r w:rsidRPr="00703E0E">
        <w:t>nspection of the imported good based on a risk analysis</w:t>
      </w:r>
    </w:p>
    <w:p w:rsidR="003741BF" w:rsidRDefault="003741BF" w:rsidP="00F525C6">
      <w:pPr>
        <w:numPr>
          <w:ilvl w:val="0"/>
          <w:numId w:val="5"/>
        </w:numPr>
        <w:ind w:left="630" w:hanging="360"/>
      </w:pPr>
      <w:r w:rsidRPr="00703E0E">
        <w:t>Laboratory analysis</w:t>
      </w:r>
      <w:r>
        <w:t xml:space="preserve"> </w:t>
      </w:r>
      <w:r w:rsidRPr="00703E0E">
        <w:t>to identify the imported good</w:t>
      </w:r>
    </w:p>
    <w:p w:rsidR="003741BF" w:rsidRPr="00C5359F" w:rsidRDefault="003741BF" w:rsidP="00024303">
      <w:pPr>
        <w:spacing w:before="120"/>
        <w:rPr>
          <w:rStyle w:val="Heading3Char"/>
        </w:rPr>
      </w:pPr>
    </w:p>
    <w:p w:rsidR="003741BF" w:rsidRDefault="003741BF">
      <w:pPr>
        <w:pStyle w:val="Heading3"/>
        <w:rPr>
          <w:rFonts w:ascii="Times New Roman" w:hAnsi="Times New Roman"/>
        </w:rPr>
      </w:pPr>
      <w:bookmarkStart w:id="40" w:name="_Toc326160686"/>
      <w:r>
        <w:t>C</w:t>
      </w:r>
      <w:r w:rsidRPr="00CD1E71">
        <w:t xml:space="preserve">ontrol </w:t>
      </w:r>
      <w:r>
        <w:t>of customs papers related to the imported good</w:t>
      </w:r>
      <w:bookmarkEnd w:id="40"/>
    </w:p>
    <w:p w:rsidR="003741BF" w:rsidRDefault="003741BF" w:rsidP="00D42A56">
      <w:r w:rsidRPr="00703E0E">
        <w:t xml:space="preserve">The first task of customs </w:t>
      </w:r>
      <w:r w:rsidR="00F82024">
        <w:t xml:space="preserve">authorities </w:t>
      </w:r>
      <w:r w:rsidRPr="00703E0E">
        <w:t>is to check the customs declarations and the customs code assigned by the</w:t>
      </w:r>
      <w:r>
        <w:t xml:space="preserve"> i</w:t>
      </w:r>
      <w:r w:rsidRPr="00703E0E">
        <w:t xml:space="preserve">mporter </w:t>
      </w:r>
      <w:r w:rsidR="00F82024">
        <w:t xml:space="preserve">against </w:t>
      </w:r>
      <w:r w:rsidRPr="00703E0E">
        <w:t xml:space="preserve">the </w:t>
      </w:r>
      <w:r>
        <w:t xml:space="preserve">Harmonized </w:t>
      </w:r>
      <w:r w:rsidRPr="00703E0E">
        <w:t>Commodity Description and Coding System (“Harmonized System”</w:t>
      </w:r>
      <w:r>
        <w:t xml:space="preserve"> or HS</w:t>
      </w:r>
      <w:r w:rsidRPr="00703E0E">
        <w:t xml:space="preserve">) of the World Customs Organization (WCO). </w:t>
      </w:r>
      <w:r w:rsidRPr="003A2822">
        <w:t>Chemical-specific HS code numbers</w:t>
      </w:r>
      <w:r w:rsidRPr="00703E0E">
        <w:t xml:space="preserve"> exist for some listed POPs, particularly those also listed in Annex III of the Rotterdam Convention.</w:t>
      </w:r>
      <w:r w:rsidRPr="00703E0E">
        <w:rPr>
          <w:rStyle w:val="FootnoteReference"/>
          <w:rFonts w:ascii="Times New Roman" w:hAnsi="Times New Roman"/>
          <w:szCs w:val="24"/>
        </w:rPr>
        <w:footnoteReference w:id="10"/>
      </w:r>
      <w:r w:rsidRPr="00703E0E">
        <w:t xml:space="preserve"> The information or the description of the import</w:t>
      </w:r>
      <w:r>
        <w:t>ed good, if it is a chemical, w</w:t>
      </w:r>
      <w:r w:rsidRPr="00703E0E">
        <w:t xml:space="preserve">ould then be compared with </w:t>
      </w:r>
      <w:r w:rsidR="00F82024">
        <w:t xml:space="preserve">the </w:t>
      </w:r>
      <w:r w:rsidRPr="00703E0E">
        <w:t xml:space="preserve">available information in </w:t>
      </w:r>
      <w:r w:rsidR="00F82024">
        <w:t xml:space="preserve">the </w:t>
      </w:r>
      <w:r w:rsidRPr="00703E0E">
        <w:t xml:space="preserve">databases that might be available concerning chemical names, CAS numbers, as well as common names/trade names/generic names of banned or restricted chemicals </w:t>
      </w:r>
      <w:r>
        <w:t>(</w:t>
      </w:r>
      <w:r w:rsidRPr="00703E0E">
        <w:t>especially the new POPs</w:t>
      </w:r>
      <w:r>
        <w:t>)</w:t>
      </w:r>
      <w:r w:rsidRPr="00703E0E">
        <w:t xml:space="preserve">. In addition to the normal customs papers, </w:t>
      </w:r>
      <w:r>
        <w:t>c</w:t>
      </w:r>
      <w:r w:rsidRPr="00703E0E">
        <w:t>ustoms authorities can also request a declaration from the importer that the imported good is in conformity with the existing national POPs legislation.</w:t>
      </w:r>
    </w:p>
    <w:p w:rsidR="009F4217" w:rsidRPr="00703E0E" w:rsidRDefault="009F4217" w:rsidP="00D42A56"/>
    <w:p w:rsidR="003741BF" w:rsidRDefault="003741BF">
      <w:pPr>
        <w:pStyle w:val="Heading3"/>
        <w:rPr>
          <w:lang w:eastAsia="de-DE" w:bidi="th-TH"/>
        </w:rPr>
      </w:pPr>
      <w:bookmarkStart w:id="41" w:name="_Toc326160687"/>
      <w:r>
        <w:rPr>
          <w:lang w:eastAsia="de-DE" w:bidi="th-TH"/>
        </w:rPr>
        <w:t>Inspection of the imported good based on a risk analysis</w:t>
      </w:r>
      <w:bookmarkEnd w:id="41"/>
    </w:p>
    <w:p w:rsidR="003741BF" w:rsidRPr="00703E0E" w:rsidRDefault="003741BF" w:rsidP="00D42A56">
      <w:pPr>
        <w:rPr>
          <w:lang w:eastAsia="de-DE" w:bidi="th-TH"/>
        </w:rPr>
      </w:pPr>
      <w:r w:rsidRPr="00703E0E">
        <w:rPr>
          <w:lang w:eastAsia="de-DE" w:bidi="th-TH"/>
        </w:rPr>
        <w:t>Customs regulations are generally designed to ensure payment of customs duties, observance of prohibitions and restrictions, and the application of special rules and quotas, preferences, and other trade measures. For every regulation, there is a corresponding risk that traders may – intentionally or not – break it. Risk analysis in the context of customs controls is a working method that aims to concentrate controls on areas of highest risk of violation while, at the same time, leaving the majority of trade to flow relatively free through customs.</w:t>
      </w:r>
    </w:p>
    <w:p w:rsidR="003741BF" w:rsidRPr="00703E0E" w:rsidRDefault="003741BF" w:rsidP="00D42A56">
      <w:pPr>
        <w:rPr>
          <w:lang w:eastAsia="de-DE" w:bidi="th-TH"/>
        </w:rPr>
      </w:pPr>
      <w:r w:rsidRPr="00703E0E">
        <w:rPr>
          <w:lang w:eastAsia="de-DE" w:bidi="th-TH"/>
        </w:rPr>
        <w:t>Risk analysis techniques attempt to identify and quantify these risks in order to develop control procedures through:</w:t>
      </w:r>
    </w:p>
    <w:p w:rsidR="003741BF" w:rsidRPr="00703E0E" w:rsidRDefault="00F42995" w:rsidP="00A74348">
      <w:pPr>
        <w:pStyle w:val="BulletLevel1"/>
        <w:rPr>
          <w:lang w:val="en-GB"/>
        </w:rPr>
      </w:pPr>
      <w:r w:rsidRPr="00703E0E">
        <w:rPr>
          <w:lang w:val="en-GB"/>
        </w:rPr>
        <w:t>Selecting goods</w:t>
      </w:r>
      <w:r w:rsidR="003741BF" w:rsidRPr="00703E0E">
        <w:rPr>
          <w:lang w:val="en-GB"/>
        </w:rPr>
        <w:t xml:space="preserve"> for documentary check or physical examination</w:t>
      </w:r>
      <w:r w:rsidR="003741BF">
        <w:rPr>
          <w:lang w:val="en-GB"/>
        </w:rPr>
        <w:t>,</w:t>
      </w:r>
      <w:r w:rsidR="003741BF" w:rsidRPr="00703E0E">
        <w:rPr>
          <w:lang w:val="en-GB"/>
        </w:rPr>
        <w:t xml:space="preserve"> e.g. newly listed POPs could be considered a risk and </w:t>
      </w:r>
      <w:r w:rsidR="003741BF">
        <w:rPr>
          <w:lang w:val="en-GB"/>
        </w:rPr>
        <w:t>warrant</w:t>
      </w:r>
      <w:r w:rsidR="003741BF" w:rsidRPr="00703E0E">
        <w:rPr>
          <w:lang w:val="en-GB"/>
        </w:rPr>
        <w:t xml:space="preserve"> inspection. </w:t>
      </w:r>
    </w:p>
    <w:p w:rsidR="003741BF" w:rsidRPr="00703E0E" w:rsidRDefault="003741BF" w:rsidP="00A74348">
      <w:pPr>
        <w:pStyle w:val="BulletLevel1"/>
        <w:rPr>
          <w:lang w:val="en-GB"/>
        </w:rPr>
      </w:pPr>
      <w:r w:rsidRPr="00703E0E">
        <w:rPr>
          <w:lang w:val="en-GB"/>
        </w:rPr>
        <w:t>Concentrating control effort of customs officers on those risk areas where breaches of the regulations are most likely to occur</w:t>
      </w:r>
      <w:r w:rsidRPr="00703E0E">
        <w:rPr>
          <w:lang w:val="en-GB" w:eastAsia="de-DE" w:bidi="th-TH"/>
        </w:rPr>
        <w:t xml:space="preserve"> – </w:t>
      </w:r>
      <w:r w:rsidRPr="00703E0E">
        <w:rPr>
          <w:lang w:val="en-GB"/>
        </w:rPr>
        <w:t>whether deliberate or not.</w:t>
      </w:r>
    </w:p>
    <w:p w:rsidR="003741BF" w:rsidRDefault="003741BF" w:rsidP="005A2195">
      <w:pPr>
        <w:autoSpaceDE w:val="0"/>
        <w:autoSpaceDN w:val="0"/>
        <w:adjustRightInd w:val="0"/>
        <w:spacing w:before="120"/>
        <w:rPr>
          <w:lang w:eastAsia="de-DE" w:bidi="th-TH"/>
        </w:rPr>
      </w:pPr>
      <w:r w:rsidRPr="00703E0E">
        <w:rPr>
          <w:lang w:eastAsia="de-DE" w:bidi="th-TH"/>
        </w:rPr>
        <w:t>Various factors within a risk area can increase or decrease the level or degree of risk to the revenue or enforcement function. These factors are called "risk indicators". Depending on the risk area, several risk indicators can be used to establish a “risk profile” for risk analysis (see text box 2</w:t>
      </w:r>
      <w:r>
        <w:rPr>
          <w:lang w:eastAsia="de-DE" w:bidi="th-TH"/>
        </w:rPr>
        <w:t>-2</w:t>
      </w:r>
      <w:r w:rsidRPr="00703E0E">
        <w:rPr>
          <w:lang w:eastAsia="de-DE" w:bidi="th-TH"/>
        </w:rPr>
        <w:t xml:space="preserve">). The risk profile identifies the risk areas in as high, medium, or low for the particular customs location and </w:t>
      </w:r>
      <w:r w:rsidRPr="00B83F21">
        <w:rPr>
          <w:lang w:eastAsia="de-DE" w:bidi="th-TH"/>
        </w:rPr>
        <w:t>expresses the risk areas.</w:t>
      </w:r>
      <w:r w:rsidRPr="00703E0E">
        <w:rPr>
          <w:lang w:eastAsia="de-DE" w:bidi="th-TH"/>
        </w:rPr>
        <w:t xml:space="preserve"> </w:t>
      </w:r>
      <w:r w:rsidRPr="00703E0E">
        <w:t xml:space="preserve">If the risk analysis indicates a high or medium risk of violation, the documentation </w:t>
      </w:r>
      <w:r>
        <w:t>w</w:t>
      </w:r>
      <w:r w:rsidRPr="00703E0E">
        <w:t>ould be more thoroughly checked or the goods inspected. Customs officer</w:t>
      </w:r>
      <w:r>
        <w:t>s w</w:t>
      </w:r>
      <w:r w:rsidRPr="00703E0E">
        <w:t>ould review</w:t>
      </w:r>
      <w:r>
        <w:t xml:space="preserve"> </w:t>
      </w:r>
      <w:r>
        <w:rPr>
          <w:lang w:eastAsia="de-DE" w:bidi="th-TH"/>
        </w:rPr>
        <w:t>t</w:t>
      </w:r>
      <w:r w:rsidRPr="00703E0E">
        <w:rPr>
          <w:lang w:eastAsia="de-DE" w:bidi="th-TH"/>
        </w:rPr>
        <w:t xml:space="preserve">he risk profiles </w:t>
      </w:r>
      <w:r>
        <w:rPr>
          <w:lang w:eastAsia="de-DE" w:bidi="th-TH"/>
        </w:rPr>
        <w:t xml:space="preserve">at </w:t>
      </w:r>
      <w:r w:rsidRPr="00703E0E">
        <w:rPr>
          <w:lang w:eastAsia="de-DE" w:bidi="th-TH"/>
        </w:rPr>
        <w:t>regular intervals.</w:t>
      </w:r>
      <w:r w:rsidRPr="00703E0E">
        <w:rPr>
          <w:rStyle w:val="FootnoteReference"/>
          <w:rFonts w:ascii="Times New Roman" w:hAnsi="Times New Roman"/>
          <w:szCs w:val="24"/>
          <w:lang w:eastAsia="de-DE" w:bidi="th-TH"/>
        </w:rPr>
        <w:footnoteReference w:id="11"/>
      </w:r>
      <w:r w:rsidRPr="00703E0E">
        <w:rPr>
          <w:lang w:eastAsia="de-DE" w:bidi="th-TH"/>
        </w:rPr>
        <w:t xml:space="preserve"> </w:t>
      </w:r>
    </w:p>
    <w:p w:rsidR="003741BF" w:rsidRPr="00703E0E" w:rsidRDefault="003741BF" w:rsidP="00D42A56">
      <w:r w:rsidRPr="00B83F21">
        <w:t xml:space="preserve">Another approach for risk analysis involves customs officers checking the labelling of the packaging of the container and goods being imported </w:t>
      </w:r>
      <w:r>
        <w:t>(</w:t>
      </w:r>
      <w:r w:rsidRPr="00B83F21">
        <w:t>and in temporary storage</w:t>
      </w:r>
      <w:r>
        <w:t>)</w:t>
      </w:r>
      <w:r w:rsidRPr="00B83F21">
        <w:t xml:space="preserve"> should the need arise to undertake laboratory analysis of the goods (see </w:t>
      </w:r>
      <w:r>
        <w:t>section 2.2.</w:t>
      </w:r>
      <w:r w:rsidRPr="00B83F21">
        <w:t xml:space="preserve">3). </w:t>
      </w:r>
      <w:r>
        <w:t>Recommendations for</w:t>
      </w:r>
      <w:r w:rsidRPr="00B83F21">
        <w:t xml:space="preserve"> labelling</w:t>
      </w:r>
      <w:r>
        <w:t xml:space="preserve"> include the following</w:t>
      </w:r>
      <w:r w:rsidRPr="00B83F21">
        <w:t>:</w:t>
      </w:r>
      <w:r w:rsidRPr="00703E0E">
        <w:t xml:space="preserve">  </w:t>
      </w:r>
    </w:p>
    <w:p w:rsidR="003741BF" w:rsidRDefault="003741BF" w:rsidP="00C46396">
      <w:pPr>
        <w:pStyle w:val="BulletLevel1"/>
        <w:rPr>
          <w:lang w:val="en-GB"/>
        </w:rPr>
      </w:pPr>
      <w:r w:rsidRPr="00CD1E71">
        <w:rPr>
          <w:b/>
          <w:lang w:val="en-GB"/>
        </w:rPr>
        <w:t>Major transported containers</w:t>
      </w:r>
      <w:r>
        <w:rPr>
          <w:lang w:val="en-GB"/>
        </w:rPr>
        <w:t>:</w:t>
      </w:r>
      <w:r w:rsidRPr="00703E0E">
        <w:rPr>
          <w:lang w:val="en-GB"/>
        </w:rPr>
        <w:t xml:space="preserve"> in accordance with the UN Recommendations on the Transport of Dangerous Goods (UN TGD, 17th revised edition). </w:t>
      </w:r>
    </w:p>
    <w:p w:rsidR="003741BF" w:rsidRPr="00C46396" w:rsidRDefault="003741BF" w:rsidP="00C46396">
      <w:pPr>
        <w:pStyle w:val="BulletLevel1"/>
        <w:rPr>
          <w:lang w:val="en-GB"/>
        </w:rPr>
      </w:pPr>
      <w:r w:rsidRPr="00CD1E71">
        <w:rPr>
          <w:b/>
          <w:lang w:val="en-GB"/>
        </w:rPr>
        <w:t>Packages of a chemical substance</w:t>
      </w:r>
      <w:r w:rsidRPr="00C46396">
        <w:rPr>
          <w:lang w:val="en-GB"/>
        </w:rPr>
        <w:t xml:space="preserve">: in accordance with the UN Globally Harmonized System of Classification and Labelling of Chemicals (GHS, 4th revised edition) including a product identifier (CAS Registry Number and name, and/or IUPAC name) for the POPs chemicals and supplier identification (name, address, telephone number). For a mixture, the same information </w:t>
      </w:r>
      <w:r>
        <w:rPr>
          <w:lang w:val="en-GB"/>
        </w:rPr>
        <w:t>w</w:t>
      </w:r>
      <w:r w:rsidRPr="00C46396">
        <w:rPr>
          <w:lang w:val="en-GB"/>
        </w:rPr>
        <w:t>ould be provided as well as the concentration or concentration ranges of all hazardous ingredients above their cut-off levels.</w:t>
      </w:r>
      <w:r w:rsidRPr="00703E0E">
        <w:rPr>
          <w:rStyle w:val="FootnoteReference"/>
          <w:rFonts w:ascii="Times New Roman" w:hAnsi="Times New Roman"/>
          <w:szCs w:val="24"/>
          <w:lang w:val="en-GB"/>
        </w:rPr>
        <w:footnoteReference w:id="12"/>
      </w:r>
    </w:p>
    <w:p w:rsidR="003741BF" w:rsidRPr="00236DD6" w:rsidRDefault="003741BF">
      <w:r w:rsidRPr="00CD1E71">
        <w:t xml:space="preserve">Approaches to </w:t>
      </w:r>
      <w:r w:rsidR="0013185B">
        <w:t>assist Parties in the l</w:t>
      </w:r>
      <w:r w:rsidRPr="00CD1E71">
        <w:t>abelling of POPs, based on a range of voluntary and legally binding instruments, are outlined in</w:t>
      </w:r>
      <w:r>
        <w:t xml:space="preserve"> the</w:t>
      </w:r>
      <w:r w:rsidRPr="00CD1E71">
        <w:t xml:space="preserve"> </w:t>
      </w:r>
      <w:r w:rsidRPr="00E2584E">
        <w:rPr>
          <w:i/>
        </w:rPr>
        <w:t>Labelling of Products or Articles that Contain POPs – Initial Considerations</w:t>
      </w:r>
      <w:r w:rsidRPr="00E2584E">
        <w:t>.</w:t>
      </w:r>
      <w:r>
        <w:rPr>
          <w:i/>
        </w:rPr>
        <w:t xml:space="preserve"> </w:t>
      </w:r>
    </w:p>
    <w:tbl>
      <w:tblPr>
        <w:tblpPr w:leftFromText="180" w:rightFromText="180" w:vertAnchor="text" w:horzAnchor="margin" w:tblpXSpec="center" w:tblpY="174"/>
        <w:tblW w:w="0" w:type="auto"/>
        <w:tblBorders>
          <w:top w:val="single" w:sz="48" w:space="0" w:color="B6DDE8"/>
          <w:left w:val="single" w:sz="48" w:space="0" w:color="B6DDE8"/>
          <w:bottom w:val="single" w:sz="48" w:space="0" w:color="B6DDE8"/>
          <w:right w:val="single" w:sz="48" w:space="0" w:color="B6DDE8"/>
          <w:insideH w:val="single" w:sz="48" w:space="0" w:color="B6DDE8"/>
          <w:insideV w:val="single" w:sz="48" w:space="0" w:color="FFC000"/>
        </w:tblBorders>
        <w:tblLook w:val="00A0"/>
      </w:tblPr>
      <w:tblGrid>
        <w:gridCol w:w="9072"/>
      </w:tblGrid>
      <w:tr w:rsidR="002C0CFD" w:rsidRPr="00703E0E" w:rsidTr="00950126">
        <w:trPr>
          <w:trHeight w:val="3277"/>
        </w:trPr>
        <w:tc>
          <w:tcPr>
            <w:tcW w:w="9072" w:type="dxa"/>
            <w:tcBorders>
              <w:top w:val="single" w:sz="48" w:space="0" w:color="B6DDE8"/>
              <w:left w:val="single" w:sz="48" w:space="0" w:color="B6DDE8"/>
              <w:bottom w:val="single" w:sz="48" w:space="0" w:color="B6DDE8"/>
              <w:right w:val="single" w:sz="48" w:space="0" w:color="B6DDE8"/>
            </w:tcBorders>
            <w:tcMar>
              <w:top w:w="113" w:type="dxa"/>
              <w:left w:w="227" w:type="dxa"/>
              <w:bottom w:w="113" w:type="dxa"/>
              <w:right w:w="227" w:type="dxa"/>
            </w:tcMar>
          </w:tcPr>
          <w:p w:rsidR="002C0CFD" w:rsidRPr="00703E0E" w:rsidRDefault="002C0CFD" w:rsidP="00950126">
            <w:pPr>
              <w:jc w:val="center"/>
              <w:rPr>
                <w:rFonts w:cs="Calibri"/>
                <w:b/>
              </w:rPr>
            </w:pPr>
            <w:r w:rsidRPr="00703E0E">
              <w:rPr>
                <w:rFonts w:cs="Calibri"/>
                <w:b/>
              </w:rPr>
              <w:lastRenderedPageBreak/>
              <w:t xml:space="preserve">Text Box </w:t>
            </w:r>
            <w:r>
              <w:rPr>
                <w:rFonts w:cs="Calibri"/>
                <w:b/>
              </w:rPr>
              <w:t>2-2</w:t>
            </w:r>
            <w:r w:rsidRPr="00703E0E">
              <w:rPr>
                <w:rFonts w:cs="Calibri"/>
                <w:b/>
              </w:rPr>
              <w:t xml:space="preserve"> </w:t>
            </w:r>
          </w:p>
          <w:p w:rsidR="002C0CFD" w:rsidRPr="00703E0E" w:rsidRDefault="002C0CFD" w:rsidP="00950126">
            <w:pPr>
              <w:jc w:val="center"/>
              <w:rPr>
                <w:rFonts w:cs="Calibri"/>
                <w:b/>
              </w:rPr>
            </w:pPr>
            <w:r>
              <w:rPr>
                <w:rFonts w:cs="Calibri"/>
                <w:b/>
              </w:rPr>
              <w:t>Chemicals</w:t>
            </w:r>
            <w:r w:rsidRPr="00703E0E">
              <w:rPr>
                <w:rFonts w:cs="Calibri"/>
                <w:b/>
              </w:rPr>
              <w:t xml:space="preserve"> that may be banned or restricted globally by the Convention include:</w:t>
            </w:r>
          </w:p>
          <w:p w:rsidR="002C0CFD" w:rsidRPr="00703E0E" w:rsidRDefault="002C0CFD" w:rsidP="00950126">
            <w:pPr>
              <w:jc w:val="center"/>
              <w:rPr>
                <w:rFonts w:cs="Calibri"/>
                <w:b/>
              </w:rPr>
            </w:pPr>
            <w:r w:rsidRPr="00CD1E71">
              <w:rPr>
                <w:rFonts w:cs="Calibri"/>
                <w:b/>
              </w:rPr>
              <w:t>Some risk indicators for establishing a risk profile for customs freight</w:t>
            </w:r>
          </w:p>
          <w:p w:rsidR="002C0CFD" w:rsidRPr="00703E0E" w:rsidRDefault="002C0CFD" w:rsidP="00950126">
            <w:pPr>
              <w:pStyle w:val="BulletLevel1"/>
              <w:rPr>
                <w:lang w:val="en-GB"/>
              </w:rPr>
            </w:pPr>
            <w:r w:rsidRPr="00703E0E">
              <w:rPr>
                <w:lang w:val="en-GB"/>
              </w:rPr>
              <w:t xml:space="preserve">Commodity code </w:t>
            </w:r>
          </w:p>
          <w:p w:rsidR="002C0CFD" w:rsidRPr="007A397E" w:rsidRDefault="002C0CFD" w:rsidP="002C0CFD">
            <w:pPr>
              <w:pStyle w:val="BulletLevel1"/>
              <w:rPr>
                <w:lang w:val="en-GB"/>
              </w:rPr>
            </w:pPr>
            <w:r w:rsidRPr="007A397E">
              <w:rPr>
                <w:lang w:val="en-GB"/>
              </w:rPr>
              <w:t xml:space="preserve">Country of origin and where consigned </w:t>
            </w:r>
          </w:p>
          <w:p w:rsidR="002C0CFD" w:rsidRPr="00703E0E" w:rsidRDefault="002C0CFD" w:rsidP="002C0CFD">
            <w:pPr>
              <w:pStyle w:val="BulletLevel1"/>
              <w:rPr>
                <w:lang w:val="en-GB"/>
              </w:rPr>
            </w:pPr>
            <w:r w:rsidRPr="00703E0E">
              <w:rPr>
                <w:lang w:val="en-GB"/>
              </w:rPr>
              <w:t xml:space="preserve">Trader compliance from own experience or other countries warning, name of POPs supplier (see </w:t>
            </w:r>
            <w:r w:rsidR="00171291" w:rsidRPr="00E2584E">
              <w:rPr>
                <w:i/>
              </w:rPr>
              <w:t>Possible producers/suppliers of all listed POPs</w:t>
            </w:r>
            <w:r w:rsidRPr="00E2584E">
              <w:rPr>
                <w:lang w:val="en-GB"/>
              </w:rPr>
              <w:t>)</w:t>
            </w:r>
          </w:p>
          <w:p w:rsidR="002C0CFD" w:rsidRPr="00703E0E" w:rsidRDefault="002C0CFD" w:rsidP="00950126">
            <w:pPr>
              <w:pStyle w:val="BulletLevel1"/>
              <w:rPr>
                <w:lang w:val="en-GB"/>
              </w:rPr>
            </w:pPr>
            <w:r w:rsidRPr="00703E0E">
              <w:rPr>
                <w:lang w:val="en-GB"/>
              </w:rPr>
              <w:t xml:space="preserve">Value, financial consequences, and financial situation of the trader </w:t>
            </w:r>
          </w:p>
          <w:p w:rsidR="002C0CFD" w:rsidRPr="00703E0E" w:rsidRDefault="002C0CFD" w:rsidP="00950126">
            <w:pPr>
              <w:pStyle w:val="BulletLevel1"/>
              <w:rPr>
                <w:lang w:val="en-GB"/>
              </w:rPr>
            </w:pPr>
            <w:r w:rsidRPr="00703E0E">
              <w:rPr>
                <w:lang w:val="en-GB"/>
              </w:rPr>
              <w:t>Means of transport</w:t>
            </w:r>
          </w:p>
        </w:tc>
      </w:tr>
    </w:tbl>
    <w:p w:rsidR="002C0CFD" w:rsidRDefault="002C0CFD">
      <w:pPr>
        <w:rPr>
          <w:i/>
        </w:rPr>
      </w:pPr>
    </w:p>
    <w:p w:rsidR="003741BF" w:rsidRDefault="003741BF">
      <w:pPr>
        <w:pStyle w:val="Heading3"/>
        <w:rPr>
          <w:lang w:eastAsia="de-DE"/>
        </w:rPr>
      </w:pPr>
      <w:bookmarkStart w:id="42" w:name="_Toc326160688"/>
      <w:r w:rsidRPr="00703E0E" w:rsidDel="00C5359F">
        <w:rPr>
          <w:lang w:eastAsia="de-DE"/>
        </w:rPr>
        <w:t xml:space="preserve"> </w:t>
      </w:r>
      <w:r w:rsidRPr="00703E0E">
        <w:rPr>
          <w:lang w:eastAsia="de-DE"/>
        </w:rPr>
        <w:t>Laboratory analysis to identify the imported good</w:t>
      </w:r>
      <w:bookmarkEnd w:id="42"/>
      <w:r w:rsidRPr="00703E0E">
        <w:rPr>
          <w:lang w:eastAsia="de-DE"/>
        </w:rPr>
        <w:t xml:space="preserve"> </w:t>
      </w:r>
    </w:p>
    <w:p w:rsidR="003741BF" w:rsidRPr="00703E0E" w:rsidRDefault="003741BF" w:rsidP="00D42A56">
      <w:pPr>
        <w:rPr>
          <w:lang w:eastAsia="de-DE" w:bidi="th-TH"/>
        </w:rPr>
      </w:pPr>
      <w:r w:rsidRPr="00703E0E">
        <w:rPr>
          <w:lang w:eastAsia="de-DE" w:bidi="th-TH"/>
        </w:rPr>
        <w:t xml:space="preserve">Customs authorities </w:t>
      </w:r>
      <w:r>
        <w:rPr>
          <w:lang w:eastAsia="de-DE" w:bidi="th-TH"/>
        </w:rPr>
        <w:t>with</w:t>
      </w:r>
      <w:r w:rsidRPr="00703E0E">
        <w:rPr>
          <w:lang w:eastAsia="de-DE" w:bidi="th-TH"/>
        </w:rPr>
        <w:t xml:space="preserve"> access to laboratories mainly analyse samples taken to verify the customs tariff based on the </w:t>
      </w:r>
      <w:r>
        <w:rPr>
          <w:lang w:eastAsia="de-DE" w:bidi="th-TH"/>
        </w:rPr>
        <w:t>HS</w:t>
      </w:r>
      <w:r w:rsidRPr="00703E0E">
        <w:rPr>
          <w:lang w:eastAsia="de-DE" w:bidi="th-TH"/>
        </w:rPr>
        <w:t xml:space="preserve"> code chosen by the person who declares the good. As the </w:t>
      </w:r>
      <w:r>
        <w:rPr>
          <w:lang w:eastAsia="de-DE" w:bidi="th-TH"/>
        </w:rPr>
        <w:t>HS</w:t>
      </w:r>
      <w:r w:rsidRPr="00703E0E">
        <w:rPr>
          <w:lang w:eastAsia="de-DE" w:bidi="th-TH"/>
        </w:rPr>
        <w:t xml:space="preserve"> code is often not chemical specific, the normal customs analysis in these cases reveal</w:t>
      </w:r>
      <w:r>
        <w:rPr>
          <w:lang w:eastAsia="de-DE" w:bidi="th-TH"/>
        </w:rPr>
        <w:t>s only the chemical class but not</w:t>
      </w:r>
      <w:r w:rsidRPr="00703E0E">
        <w:rPr>
          <w:lang w:eastAsia="de-DE" w:bidi="th-TH"/>
        </w:rPr>
        <w:t xml:space="preserve"> the chemical identity. (See, however, note above on POPs chemicals listed within the Rotterdam Convention.)</w:t>
      </w:r>
    </w:p>
    <w:p w:rsidR="003741BF" w:rsidRPr="00703E0E" w:rsidRDefault="003741BF" w:rsidP="00D42A56">
      <w:r w:rsidRPr="00703E0E">
        <w:rPr>
          <w:lang w:eastAsia="de-DE" w:bidi="th-TH"/>
        </w:rPr>
        <w:t>Customs authorities may need to check for specific POPs in some materials where the designation is uncertain, unclear, or close to a threshold</w:t>
      </w:r>
      <w:r>
        <w:rPr>
          <w:lang w:eastAsia="de-DE" w:bidi="th-TH"/>
        </w:rPr>
        <w:t>. They can do this</w:t>
      </w:r>
      <w:r w:rsidRPr="00703E0E">
        <w:rPr>
          <w:lang w:eastAsia="de-DE" w:bidi="th-TH"/>
        </w:rPr>
        <w:t xml:space="preserve"> </w:t>
      </w:r>
      <w:r w:rsidRPr="00CD1E71">
        <w:rPr>
          <w:lang w:eastAsia="de-DE" w:bidi="th-TH"/>
        </w:rPr>
        <w:t xml:space="preserve">through the use of certified laboratories, following </w:t>
      </w:r>
      <w:r w:rsidR="001E0F07" w:rsidRPr="00E2584E">
        <w:rPr>
          <w:i/>
          <w:color w:val="000000" w:themeColor="text1"/>
        </w:rPr>
        <w:t xml:space="preserve">Guidance on screening and analysis of POPs in Articles and Products </w:t>
      </w:r>
      <w:r w:rsidRPr="00E2584E">
        <w:rPr>
          <w:color w:val="000000" w:themeColor="text1"/>
          <w:lang w:eastAsia="de-DE" w:bidi="th-TH"/>
        </w:rPr>
        <w:t>that</w:t>
      </w:r>
      <w:r w:rsidRPr="00CD1E71">
        <w:rPr>
          <w:lang w:eastAsia="de-DE" w:bidi="th-TH"/>
        </w:rPr>
        <w:t xml:space="preserve"> can identify and quantify POPs as a substance, in mixtures, and in an article</w:t>
      </w:r>
      <w:r w:rsidRPr="00371008">
        <w:rPr>
          <w:lang w:eastAsia="de-DE" w:bidi="th-TH"/>
        </w:rPr>
        <w:t>.</w:t>
      </w:r>
      <w:r w:rsidRPr="00703E0E">
        <w:rPr>
          <w:lang w:eastAsia="de-DE" w:bidi="th-TH"/>
        </w:rPr>
        <w:t xml:space="preserve"> </w:t>
      </w:r>
      <w:r w:rsidRPr="00703E0E">
        <w:t xml:space="preserve">More guidance on customs procedures to control import of chemicals can be found in the </w:t>
      </w:r>
      <w:r w:rsidRPr="00CD1E71">
        <w:rPr>
          <w:i/>
        </w:rPr>
        <w:t>J</w:t>
      </w:r>
      <w:r w:rsidRPr="00CD1E71">
        <w:rPr>
          <w:i/>
          <w:lang w:eastAsia="de-DE" w:bidi="th-TH"/>
        </w:rPr>
        <w:t xml:space="preserve">oint </w:t>
      </w:r>
      <w:r>
        <w:rPr>
          <w:i/>
          <w:lang w:eastAsia="de-DE" w:bidi="th-TH"/>
        </w:rPr>
        <w:t>E</w:t>
      </w:r>
      <w:r w:rsidRPr="00CD1E71">
        <w:rPr>
          <w:i/>
          <w:lang w:eastAsia="de-DE" w:bidi="th-TH"/>
        </w:rPr>
        <w:t xml:space="preserve">-learning WCO </w:t>
      </w:r>
      <w:r>
        <w:rPr>
          <w:i/>
          <w:lang w:eastAsia="de-DE" w:bidi="th-TH"/>
        </w:rPr>
        <w:t>T</w:t>
      </w:r>
      <w:r w:rsidRPr="00CD1E71">
        <w:rPr>
          <w:i/>
          <w:lang w:eastAsia="de-DE" w:bidi="th-TH"/>
        </w:rPr>
        <w:t>ool on the Basel, Rotterdam and Stockholm Conventions</w:t>
      </w:r>
      <w:r w:rsidRPr="00703E0E">
        <w:rPr>
          <w:lang w:eastAsia="de-DE" w:bidi="th-TH"/>
        </w:rPr>
        <w:t>.</w:t>
      </w:r>
      <w:r w:rsidRPr="00703E0E">
        <w:rPr>
          <w:rStyle w:val="FootnoteReference"/>
          <w:rFonts w:ascii="Times New Roman" w:hAnsi="Times New Roman"/>
          <w:szCs w:val="24"/>
          <w:lang w:eastAsia="de-DE" w:bidi="th-TH"/>
        </w:rPr>
        <w:footnoteReference w:id="13"/>
      </w:r>
    </w:p>
    <w:p w:rsidR="003741BF" w:rsidRDefault="003741BF">
      <w:pPr>
        <w:pStyle w:val="Heading3"/>
        <w:rPr>
          <w:lang w:eastAsia="de-DE"/>
        </w:rPr>
      </w:pPr>
      <w:bookmarkStart w:id="43" w:name="_Toc326160689"/>
      <w:r w:rsidRPr="00703E0E">
        <w:rPr>
          <w:lang w:eastAsia="de-DE"/>
        </w:rPr>
        <w:t xml:space="preserve">Limitations </w:t>
      </w:r>
      <w:r>
        <w:rPr>
          <w:lang w:eastAsia="de-DE"/>
        </w:rPr>
        <w:t>of</w:t>
      </w:r>
      <w:r w:rsidRPr="00703E0E">
        <w:rPr>
          <w:lang w:eastAsia="de-DE"/>
        </w:rPr>
        <w:t xml:space="preserve"> controls</w:t>
      </w:r>
      <w:bookmarkEnd w:id="43"/>
    </w:p>
    <w:p w:rsidR="003741BF" w:rsidRPr="00703E0E" w:rsidRDefault="003741BF" w:rsidP="00D42A56">
      <w:r w:rsidRPr="00703E0E">
        <w:t xml:space="preserve">The customs tools described above may only be of limited value in certain circumstances, for example, when controlling </w:t>
      </w:r>
      <w:r w:rsidRPr="00CD1E71">
        <w:t>regulated POPs that are:</w:t>
      </w:r>
    </w:p>
    <w:p w:rsidR="003741BF" w:rsidRPr="00703E0E" w:rsidRDefault="003741BF" w:rsidP="00A74348">
      <w:pPr>
        <w:pStyle w:val="BulletLevel1"/>
        <w:rPr>
          <w:lang w:val="en-GB"/>
        </w:rPr>
      </w:pPr>
      <w:r w:rsidRPr="00703E0E">
        <w:rPr>
          <w:lang w:val="en-GB"/>
        </w:rPr>
        <w:t xml:space="preserve">A non-POP chemical that, due to its industrial production, contains a POP listed in Annex A or Annex B unintentionally as a contaminant in a concentration higher than a trace contaminant. </w:t>
      </w:r>
    </w:p>
    <w:p w:rsidR="003741BF" w:rsidRPr="00703E0E" w:rsidRDefault="003741BF" w:rsidP="00A74348">
      <w:pPr>
        <w:pStyle w:val="BulletLevel1"/>
        <w:rPr>
          <w:lang w:val="en-GB"/>
        </w:rPr>
      </w:pPr>
      <w:r w:rsidRPr="00703E0E">
        <w:rPr>
          <w:lang w:val="en-GB"/>
        </w:rPr>
        <w:t>A mixture produced by intentionally adding a non-POP chemical that, due to its industrial production, contains a listed POP unintentionally as a contaminant in a concentration higher than a trace.</w:t>
      </w:r>
    </w:p>
    <w:p w:rsidR="003741BF" w:rsidRPr="00703E0E" w:rsidRDefault="003741BF" w:rsidP="00A74348">
      <w:pPr>
        <w:pStyle w:val="BulletLevel1"/>
        <w:rPr>
          <w:lang w:val="en-GB"/>
        </w:rPr>
      </w:pPr>
      <w:r w:rsidRPr="00703E0E">
        <w:rPr>
          <w:lang w:val="en-GB"/>
        </w:rPr>
        <w:t>An article produced by intentionally adding a non</w:t>
      </w:r>
      <w:r>
        <w:rPr>
          <w:lang w:val="en-GB"/>
        </w:rPr>
        <w:t>-</w:t>
      </w:r>
      <w:r w:rsidRPr="00703E0E">
        <w:rPr>
          <w:lang w:val="en-GB"/>
        </w:rPr>
        <w:t>POP chemical that, due to its industrial production, contains a listed POP unintentionally as a contaminant in a concentration higher than a trace.</w:t>
      </w:r>
    </w:p>
    <w:p w:rsidR="003741BF" w:rsidRPr="00703E0E" w:rsidRDefault="003741BF" w:rsidP="00E0618A">
      <w:pPr>
        <w:spacing w:before="120"/>
      </w:pPr>
      <w:r w:rsidRPr="00703E0E">
        <w:t>For the control of these unintentionally produced POPs or polluted products or articles, information needs to be available on which substances, mixtures, and articles are expected from past analysis to contain more than a trace component of newly listed POPs or DDT (see</w:t>
      </w:r>
      <w:r w:rsidR="00CF5176">
        <w:t xml:space="preserve"> </w:t>
      </w:r>
      <w:r w:rsidRPr="00CF5176">
        <w:rPr>
          <w:i/>
        </w:rPr>
        <w:t>Chemicals contaminated with POPs</w:t>
      </w:r>
      <w:r w:rsidRPr="00CF5176">
        <w:t>).</w:t>
      </w:r>
    </w:p>
    <w:p w:rsidR="003741BF" w:rsidRPr="00703E0E" w:rsidRDefault="003741BF" w:rsidP="00D42A56">
      <w:r w:rsidRPr="00703E0E">
        <w:rPr>
          <w:rFonts w:eastAsia="Times New Roman"/>
          <w:lang w:eastAsia="de-DE" w:bidi="th-TH"/>
        </w:rPr>
        <w:t xml:space="preserve">The </w:t>
      </w:r>
      <w:r>
        <w:t>United Nations Environment Programme’s (</w:t>
      </w:r>
      <w:r w:rsidRPr="00F947A0">
        <w:t>UNEP</w:t>
      </w:r>
      <w:r>
        <w:t>)</w:t>
      </w:r>
      <w:r w:rsidRPr="000C0486">
        <w:rPr>
          <w:i/>
        </w:rPr>
        <w:t xml:space="preserve"> Inventory of </w:t>
      </w:r>
      <w:r>
        <w:rPr>
          <w:i/>
        </w:rPr>
        <w:t>T</w:t>
      </w:r>
      <w:r w:rsidRPr="000C0486">
        <w:rPr>
          <w:i/>
        </w:rPr>
        <w:t xml:space="preserve">rade </w:t>
      </w:r>
      <w:r>
        <w:rPr>
          <w:i/>
        </w:rPr>
        <w:t>N</w:t>
      </w:r>
      <w:r w:rsidRPr="000C0486">
        <w:rPr>
          <w:i/>
        </w:rPr>
        <w:t xml:space="preserve">ames of </w:t>
      </w:r>
      <w:r>
        <w:rPr>
          <w:i/>
        </w:rPr>
        <w:t>C</w:t>
      </w:r>
      <w:r w:rsidRPr="000C0486">
        <w:rPr>
          <w:i/>
        </w:rPr>
        <w:t xml:space="preserve">hemical </w:t>
      </w:r>
      <w:r>
        <w:rPr>
          <w:i/>
        </w:rPr>
        <w:t>P</w:t>
      </w:r>
      <w:r w:rsidRPr="000C0486">
        <w:rPr>
          <w:i/>
        </w:rPr>
        <w:t xml:space="preserve">roducts </w:t>
      </w:r>
      <w:r>
        <w:rPr>
          <w:i/>
        </w:rPr>
        <w:t>C</w:t>
      </w:r>
      <w:r w:rsidRPr="000C0486">
        <w:rPr>
          <w:i/>
        </w:rPr>
        <w:t xml:space="preserve">ontaining </w:t>
      </w:r>
      <w:r>
        <w:rPr>
          <w:i/>
        </w:rPr>
        <w:t>O</w:t>
      </w:r>
      <w:r w:rsidRPr="000C0486">
        <w:rPr>
          <w:i/>
        </w:rPr>
        <w:t xml:space="preserve">zone </w:t>
      </w:r>
      <w:r>
        <w:rPr>
          <w:i/>
        </w:rPr>
        <w:t>D</w:t>
      </w:r>
      <w:r w:rsidRPr="000C0486">
        <w:rPr>
          <w:i/>
        </w:rPr>
        <w:t xml:space="preserve">epletion </w:t>
      </w:r>
      <w:r>
        <w:rPr>
          <w:i/>
        </w:rPr>
        <w:t>S</w:t>
      </w:r>
      <w:r w:rsidRPr="000C0486">
        <w:rPr>
          <w:i/>
        </w:rPr>
        <w:t xml:space="preserve">ubstances and </w:t>
      </w:r>
      <w:r>
        <w:rPr>
          <w:i/>
        </w:rPr>
        <w:t>T</w:t>
      </w:r>
      <w:r w:rsidRPr="000C0486">
        <w:rPr>
          <w:i/>
        </w:rPr>
        <w:t xml:space="preserve">heir </w:t>
      </w:r>
      <w:r>
        <w:rPr>
          <w:i/>
        </w:rPr>
        <w:t>A</w:t>
      </w:r>
      <w:r w:rsidRPr="000C0486">
        <w:rPr>
          <w:i/>
        </w:rPr>
        <w:t>lternatives</w:t>
      </w:r>
      <w:r w:rsidRPr="00703E0E">
        <w:rPr>
          <w:rStyle w:val="FootnoteReference"/>
          <w:rFonts w:ascii="Times New Roman" w:hAnsi="Times New Roman"/>
          <w:szCs w:val="24"/>
        </w:rPr>
        <w:footnoteReference w:id="14"/>
      </w:r>
      <w:r w:rsidRPr="00703E0E">
        <w:t xml:space="preserve"> is </w:t>
      </w:r>
      <w:r w:rsidRPr="00703E0E">
        <w:rPr>
          <w:color w:val="000000"/>
        </w:rPr>
        <w:t>one model</w:t>
      </w:r>
      <w:r w:rsidRPr="00703E0E">
        <w:rPr>
          <w:b/>
          <w:bCs/>
          <w:color w:val="000000"/>
        </w:rPr>
        <w:t xml:space="preserve"> </w:t>
      </w:r>
      <w:r w:rsidRPr="000C0486">
        <w:rPr>
          <w:bCs/>
          <w:color w:val="000000"/>
        </w:rPr>
        <w:t>of</w:t>
      </w:r>
      <w:r>
        <w:rPr>
          <w:b/>
          <w:bCs/>
          <w:color w:val="000000"/>
        </w:rPr>
        <w:t xml:space="preserve"> </w:t>
      </w:r>
      <w:r w:rsidRPr="00703E0E">
        <w:rPr>
          <w:bCs/>
          <w:color w:val="000000"/>
        </w:rPr>
        <w:t>how to</w:t>
      </w:r>
      <w:r w:rsidRPr="00703E0E">
        <w:rPr>
          <w:rFonts w:eastAsia="Times New Roman"/>
          <w:lang w:eastAsia="de-DE" w:bidi="th-TH"/>
        </w:rPr>
        <w:t xml:space="preserve"> use trade names in the control of banned chemicals.</w:t>
      </w:r>
      <w:r w:rsidRPr="00703E0E">
        <w:t xml:space="preserve"> The example of the Montreal Protocol shows that import control can be facilitated with an inventory containing the trade name of substance or mixture, the chemical name of </w:t>
      </w:r>
      <w:r w:rsidRPr="00703E0E">
        <w:lastRenderedPageBreak/>
        <w:t>substance or of components of the mixture, and the name of the company that produces the substance or mixture.</w:t>
      </w:r>
    </w:p>
    <w:p w:rsidR="003741BF" w:rsidRDefault="003741BF" w:rsidP="000C0486">
      <w:pPr>
        <w:pStyle w:val="Heading3"/>
        <w:rPr>
          <w:lang w:eastAsia="de-DE"/>
        </w:rPr>
      </w:pPr>
      <w:bookmarkStart w:id="44" w:name="_Toc326160690"/>
      <w:r w:rsidRPr="00703E0E">
        <w:rPr>
          <w:lang w:eastAsia="de-DE"/>
        </w:rPr>
        <w:t>Import permit/license by relevant ministries before actual import</w:t>
      </w:r>
      <w:bookmarkEnd w:id="44"/>
    </w:p>
    <w:p w:rsidR="003741BF" w:rsidRDefault="003741BF" w:rsidP="00654AEC">
      <w:r w:rsidRPr="00703E0E">
        <w:t xml:space="preserve">Some countries require that an import permit/license is requested from the relevant ministry/agency before the actual import of the chemical good can take place. In doing so, the importer has to identify the chemical good such that it can be controlled by the ministry/agency with existing lists of banned and restricted chemicals in the country. The relevant ministry/agency for import permits </w:t>
      </w:r>
      <w:r>
        <w:t>c</w:t>
      </w:r>
      <w:r w:rsidRPr="00703E0E">
        <w:t>ould consider having an agreement with customs that specifies the</w:t>
      </w:r>
      <w:r>
        <w:t>ir respective</w:t>
      </w:r>
      <w:r w:rsidRPr="00703E0E">
        <w:t xml:space="preserve"> roles and tasks. For example, who is responsible for conducting a risk analysis to identify potential violations based on information on the identity, supplier, exporting country, and the use of the chemical good? If the risk analysis is performed by the relevant authority for import, customs could be obliged to inspect the chemical good and to check whether the information</w:t>
      </w:r>
      <w:r>
        <w:t xml:space="preserve"> ―</w:t>
      </w:r>
      <w:r w:rsidRPr="00703E0E">
        <w:t xml:space="preserve"> such as trade, chemical name, label, use, and physical appearance</w:t>
      </w:r>
      <w:r>
        <w:t xml:space="preserve"> ―</w:t>
      </w:r>
      <w:r w:rsidRPr="00703E0E">
        <w:t xml:space="preserve"> is consistent with the identity </w:t>
      </w:r>
      <w:r>
        <w:t>provided</w:t>
      </w:r>
      <w:r w:rsidRPr="00703E0E">
        <w:t xml:space="preserve"> by the importer.</w:t>
      </w:r>
    </w:p>
    <w:p w:rsidR="00D02FBF" w:rsidRPr="00D02FBF" w:rsidRDefault="00D02FBF" w:rsidP="00654AEC">
      <w:pPr>
        <w:rPr>
          <w:lang w:val="de-DE"/>
        </w:rPr>
      </w:pPr>
    </w:p>
    <w:p w:rsidR="003741BF" w:rsidRDefault="003741BF" w:rsidP="000C0486">
      <w:pPr>
        <w:snapToGrid/>
        <w:spacing w:after="0"/>
        <w:jc w:val="left"/>
      </w:pPr>
      <w:r w:rsidRPr="00703E0E">
        <w:br w:type="page"/>
      </w:r>
    </w:p>
    <w:p w:rsidR="003741BF" w:rsidRPr="00703E0E" w:rsidRDefault="003741BF" w:rsidP="00D25F53">
      <w:pPr>
        <w:pStyle w:val="Heading1"/>
      </w:pPr>
      <w:bookmarkStart w:id="45" w:name="_Toc310864076"/>
      <w:bookmarkStart w:id="46" w:name="_Toc310866858"/>
      <w:bookmarkStart w:id="47" w:name="_Toc310929564"/>
      <w:bookmarkStart w:id="48" w:name="_Toc310929618"/>
      <w:bookmarkStart w:id="49" w:name="_Toc310929671"/>
      <w:bookmarkStart w:id="50" w:name="_Toc310929844"/>
      <w:bookmarkStart w:id="51" w:name="_Toc311017984"/>
      <w:bookmarkStart w:id="52" w:name="_Toc311018035"/>
      <w:bookmarkStart w:id="53" w:name="_Toc311213160"/>
      <w:bookmarkStart w:id="54" w:name="_Toc307830753"/>
      <w:bookmarkStart w:id="55" w:name="_Toc326160691"/>
      <w:bookmarkEnd w:id="45"/>
      <w:bookmarkEnd w:id="46"/>
      <w:bookmarkEnd w:id="47"/>
      <w:bookmarkEnd w:id="48"/>
      <w:bookmarkEnd w:id="49"/>
      <w:bookmarkEnd w:id="50"/>
      <w:bookmarkEnd w:id="51"/>
      <w:bookmarkEnd w:id="52"/>
      <w:bookmarkEnd w:id="53"/>
      <w:r w:rsidRPr="00703E0E">
        <w:lastRenderedPageBreak/>
        <w:t>Use of the supporting documents and database in the enforcement of legal obligations for POPs</w:t>
      </w:r>
      <w:r w:rsidR="00872C62">
        <w:t xml:space="preserve"> </w:t>
      </w:r>
      <w:bookmarkEnd w:id="54"/>
      <w:bookmarkEnd w:id="55"/>
    </w:p>
    <w:p w:rsidR="003741BF" w:rsidRPr="00703E0E" w:rsidRDefault="003741BF" w:rsidP="00D25F53">
      <w:pPr>
        <w:pStyle w:val="Heading2"/>
      </w:pPr>
      <w:bookmarkStart w:id="56" w:name="_Toc307830752"/>
      <w:bookmarkStart w:id="57" w:name="_Toc326160692"/>
      <w:r w:rsidRPr="00703E0E">
        <w:t>Supporting documents and databa</w:t>
      </w:r>
      <w:r w:rsidR="00D87AA2" w:rsidRPr="00D87AA2">
        <w:t>se</w:t>
      </w:r>
      <w:r w:rsidRPr="00703E0E">
        <w:t xml:space="preserve"> </w:t>
      </w:r>
      <w:bookmarkEnd w:id="56"/>
      <w:r w:rsidRPr="00703E0E">
        <w:t>for the import control of POPs</w:t>
      </w:r>
      <w:bookmarkEnd w:id="57"/>
      <w:r w:rsidRPr="00703E0E">
        <w:rPr>
          <w:rFonts w:cs="Arial"/>
          <w:color w:val="000000"/>
        </w:rPr>
        <w:t xml:space="preserve"> </w:t>
      </w:r>
    </w:p>
    <w:p w:rsidR="003741BF" w:rsidRPr="00703E0E" w:rsidRDefault="0041778C" w:rsidP="00D25F53">
      <w:r>
        <w:t xml:space="preserve">A set of </w:t>
      </w:r>
      <w:r w:rsidR="009932B7">
        <w:t xml:space="preserve">supporting documents </w:t>
      </w:r>
      <w:r w:rsidR="003741BF" w:rsidRPr="00703E0E">
        <w:t>and searchable database</w:t>
      </w:r>
      <w:r>
        <w:t xml:space="preserve"> </w:t>
      </w:r>
      <w:r w:rsidR="003741BF" w:rsidRPr="00703E0E">
        <w:t xml:space="preserve">have been developed </w:t>
      </w:r>
      <w:r w:rsidR="009932B7">
        <w:t>and they</w:t>
      </w:r>
      <w:r w:rsidR="003741BF" w:rsidRPr="00703E0E">
        <w:t xml:space="preserve"> are expected to facilitate control of the POPs:</w:t>
      </w:r>
    </w:p>
    <w:p w:rsidR="009932B7" w:rsidRPr="001D6352" w:rsidRDefault="009932B7" w:rsidP="009932B7">
      <w:pPr>
        <w:pStyle w:val="BulletLevel1"/>
      </w:pPr>
      <w:r w:rsidRPr="001D6352">
        <w:t>Information on chemicals, mixtures</w:t>
      </w:r>
      <w:r>
        <w:t>,</w:t>
      </w:r>
      <w:r w:rsidRPr="001D6352">
        <w:t xml:space="preserve"> and articles containing </w:t>
      </w:r>
      <w:r w:rsidRPr="0092498A">
        <w:t>POPs</w:t>
      </w:r>
      <w:r w:rsidRPr="001D6352">
        <w:t xml:space="preserve"> listed in </w:t>
      </w:r>
      <w:r>
        <w:t>A</w:t>
      </w:r>
      <w:r w:rsidRPr="001D6352">
        <w:t xml:space="preserve">nnexes A and B of the Stockholm Convention </w:t>
      </w:r>
    </w:p>
    <w:p w:rsidR="003741BF" w:rsidRPr="00703E0E" w:rsidRDefault="009932B7" w:rsidP="00D25F53">
      <w:pPr>
        <w:pStyle w:val="BulletLevel1"/>
        <w:rPr>
          <w:lang w:val="en-GB"/>
        </w:rPr>
      </w:pPr>
      <w:r>
        <w:rPr>
          <w:lang w:val="en-GB"/>
        </w:rPr>
        <w:t>I</w:t>
      </w:r>
      <w:r w:rsidR="003741BF" w:rsidRPr="00703E0E">
        <w:rPr>
          <w:lang w:val="en-GB"/>
        </w:rPr>
        <w:t>nformation on to what extent production, use, and international trade remains legal for the listed POPs ― lindane, endosulfan, DDT, PFOS, its salts and PFOSF ―as well as recycled material from articles in use containing commercial PentaBDE and OctaBDE.</w:t>
      </w:r>
    </w:p>
    <w:p w:rsidR="003741BF" w:rsidRPr="00703E0E" w:rsidRDefault="002415A9" w:rsidP="00D25F53">
      <w:pPr>
        <w:pStyle w:val="BulletLevel1"/>
        <w:rPr>
          <w:lang w:val="en-GB"/>
        </w:rPr>
      </w:pPr>
      <w:r>
        <w:t>Examples and decisions trees on the control of legal international trade of lindane</w:t>
      </w:r>
      <w:r w:rsidR="003741BF" w:rsidRPr="00703E0E">
        <w:rPr>
          <w:lang w:val="en-GB"/>
        </w:rPr>
        <w:t>.</w:t>
      </w:r>
    </w:p>
    <w:p w:rsidR="003741BF" w:rsidRPr="002651E8" w:rsidRDefault="002415A9" w:rsidP="00D25F53">
      <w:pPr>
        <w:pStyle w:val="BulletLevel1"/>
        <w:rPr>
          <w:lang w:val="en-GB"/>
        </w:rPr>
      </w:pPr>
      <w:r>
        <w:t xml:space="preserve">Summary tables of legal obligations for </w:t>
      </w:r>
      <w:r w:rsidR="002651E8">
        <w:t>L</w:t>
      </w:r>
      <w:r>
        <w:t xml:space="preserve">indane, </w:t>
      </w:r>
      <w:r w:rsidR="002651E8">
        <w:t>E</w:t>
      </w:r>
      <w:r>
        <w:t>ndosulfan, DDT,</w:t>
      </w:r>
      <w:r w:rsidRPr="0092498A">
        <w:t xml:space="preserve"> </w:t>
      </w:r>
      <w:r>
        <w:t>and PFOS, its salts, PFOSF and PFOS related chemicals</w:t>
      </w:r>
      <w:r w:rsidR="002651E8">
        <w:t>.</w:t>
      </w:r>
    </w:p>
    <w:p w:rsidR="002651E8" w:rsidRDefault="002651E8" w:rsidP="00D25F53">
      <w:pPr>
        <w:pStyle w:val="BulletLevel1"/>
        <w:rPr>
          <w:lang w:val="en-GB"/>
        </w:rPr>
      </w:pPr>
      <w:r>
        <w:rPr>
          <w:lang w:val="en-GB"/>
        </w:rPr>
        <w:t>Possible</w:t>
      </w:r>
      <w:r w:rsidR="003741BF" w:rsidRPr="00703E0E">
        <w:rPr>
          <w:lang w:val="en-GB"/>
        </w:rPr>
        <w:t xml:space="preserve"> producers/suppliers of</w:t>
      </w:r>
      <w:r>
        <w:rPr>
          <w:lang w:val="en-GB"/>
        </w:rPr>
        <w:t xml:space="preserve"> </w:t>
      </w:r>
      <w:r w:rsidR="003741BF" w:rsidRPr="00703E0E">
        <w:rPr>
          <w:lang w:val="en-GB"/>
        </w:rPr>
        <w:t>POPs.</w:t>
      </w:r>
    </w:p>
    <w:p w:rsidR="002651E8" w:rsidRPr="0013137D" w:rsidRDefault="002651E8" w:rsidP="002651E8">
      <w:pPr>
        <w:pStyle w:val="BulletLevel1"/>
      </w:pPr>
      <w:r w:rsidRPr="0013137D">
        <w:t>Analytical POPs standard producers/</w:t>
      </w:r>
      <w:r>
        <w:t>suppliers</w:t>
      </w:r>
    </w:p>
    <w:p w:rsidR="003741BF" w:rsidRPr="00703E0E" w:rsidRDefault="002651E8" w:rsidP="00D25F53">
      <w:pPr>
        <w:pStyle w:val="BulletLevel1"/>
        <w:rPr>
          <w:bCs/>
          <w:iCs/>
          <w:lang w:val="en-GB"/>
        </w:rPr>
      </w:pPr>
      <w:r>
        <w:rPr>
          <w:lang w:val="en-GB"/>
        </w:rPr>
        <w:t>A</w:t>
      </w:r>
      <w:r w:rsidR="003741BF" w:rsidRPr="00703E0E">
        <w:rPr>
          <w:lang w:val="en-GB"/>
        </w:rPr>
        <w:t xml:space="preserve"> database comprising a series of Excel tables</w:t>
      </w:r>
      <w:r w:rsidR="003741BF">
        <w:rPr>
          <w:lang w:val="en-GB"/>
        </w:rPr>
        <w:t xml:space="preserve"> on the following</w:t>
      </w:r>
      <w:r w:rsidR="003741BF" w:rsidRPr="00703E0E">
        <w:rPr>
          <w:lang w:val="en-GB"/>
        </w:rPr>
        <w:t>:</w:t>
      </w:r>
      <w:r w:rsidR="003741BF" w:rsidRPr="00703E0E">
        <w:rPr>
          <w:bCs/>
          <w:lang w:val="en-GB"/>
        </w:rPr>
        <w:t xml:space="preserve"> </w:t>
      </w:r>
    </w:p>
    <w:p w:rsidR="003741BF" w:rsidRPr="000859C6" w:rsidRDefault="003741BF" w:rsidP="00AF11C4">
      <w:pPr>
        <w:pStyle w:val="BulletLevel1"/>
        <w:numPr>
          <w:ilvl w:val="1"/>
          <w:numId w:val="2"/>
        </w:numPr>
        <w:ind w:left="1080"/>
      </w:pPr>
      <w:r w:rsidRPr="000C0486">
        <w:t>Information on POPs</w:t>
      </w:r>
      <w:r w:rsidR="00BE0CE5">
        <w:t xml:space="preserve"> listed in 2009 and 2011</w:t>
      </w:r>
      <w:r w:rsidRPr="000C0486">
        <w:t xml:space="preserve"> and DDT: common name, chemical na</w:t>
      </w:r>
      <w:r w:rsidRPr="000C0486">
        <w:rPr>
          <w:bCs/>
        </w:rPr>
        <w:t>m</w:t>
      </w:r>
      <w:r w:rsidRPr="000C0486">
        <w:rPr>
          <w:bCs/>
          <w:iCs/>
        </w:rPr>
        <w:t>e</w:t>
      </w:r>
      <w:r w:rsidRPr="000C0486">
        <w:t xml:space="preserve">, CAS number, HS code chemical, HS code mixture, UN transport number, trade names, company names, classification and </w:t>
      </w:r>
      <w:r w:rsidR="00227599" w:rsidRPr="000C0486">
        <w:t>labeling</w:t>
      </w:r>
      <w:r w:rsidRPr="000C0486">
        <w:t xml:space="preserve"> details, GHS cut-off values, Stockholm Convention control measures, and legal status within Party (to be filled in by Parties). </w:t>
      </w:r>
    </w:p>
    <w:p w:rsidR="003741BF" w:rsidRPr="000859C6" w:rsidRDefault="003741BF" w:rsidP="00AF11C4">
      <w:pPr>
        <w:pStyle w:val="BulletLevel1"/>
        <w:numPr>
          <w:ilvl w:val="1"/>
          <w:numId w:val="2"/>
        </w:numPr>
        <w:ind w:left="1080"/>
      </w:pPr>
      <w:r w:rsidRPr="000C0486">
        <w:t>Identity of PFOS and PFOS</w:t>
      </w:r>
      <w:r>
        <w:t>-</w:t>
      </w:r>
      <w:r w:rsidRPr="000C0486">
        <w:t>related chemicals</w:t>
      </w:r>
      <w:r w:rsidRPr="000C0486">
        <w:rPr>
          <w:i/>
        </w:rPr>
        <w:t>:</w:t>
      </w:r>
      <w:r w:rsidRPr="000C0486">
        <w:t xml:space="preserve">  </w:t>
      </w:r>
      <w:r w:rsidRPr="000C0486">
        <w:rPr>
          <w:lang w:eastAsia="de-DE"/>
        </w:rPr>
        <w:t>chemical name and CAS number</w:t>
      </w:r>
      <w:r w:rsidRPr="000C0486">
        <w:t xml:space="preserve"> for PFOS, its salts, PFOSF and PFOS-related</w:t>
      </w:r>
      <w:r w:rsidRPr="000C0486">
        <w:rPr>
          <w:lang w:eastAsia="de-DE"/>
        </w:rPr>
        <w:t xml:space="preserve"> chemicals as well as trade names and company names.</w:t>
      </w:r>
    </w:p>
    <w:p w:rsidR="003741BF" w:rsidRPr="000859C6" w:rsidRDefault="003741BF" w:rsidP="00AF11C4">
      <w:pPr>
        <w:pStyle w:val="BulletLevel1"/>
        <w:numPr>
          <w:ilvl w:val="1"/>
          <w:numId w:val="2"/>
        </w:numPr>
        <w:ind w:left="1080"/>
      </w:pPr>
      <w:r w:rsidRPr="000C0486">
        <w:t>Chemicals contaminated with POPs</w:t>
      </w:r>
      <w:r w:rsidRPr="000C0486">
        <w:rPr>
          <w:lang w:eastAsia="de-DE"/>
        </w:rPr>
        <w:t>:  chemical name, CAS nu</w:t>
      </w:r>
      <w:r w:rsidRPr="000C0486">
        <w:t xml:space="preserve">mber, common names, name of POPs contaminant, and relevant Stockholm Convention Annex, for </w:t>
      </w:r>
      <w:r w:rsidRPr="000C0486">
        <w:rPr>
          <w:lang w:eastAsia="de-DE"/>
        </w:rPr>
        <w:t>che</w:t>
      </w:r>
      <w:r w:rsidRPr="000C0486">
        <w:t xml:space="preserve">micals that may contain a POP </w:t>
      </w:r>
      <w:r w:rsidRPr="000C0486">
        <w:rPr>
          <w:lang w:eastAsia="de-DE"/>
        </w:rPr>
        <w:t>listed in Annex A, B, or C.</w:t>
      </w:r>
      <w:r w:rsidRPr="000C0486">
        <w:t xml:space="preserve">  </w:t>
      </w:r>
    </w:p>
    <w:p w:rsidR="003741BF" w:rsidRPr="00703E0E" w:rsidRDefault="003741BF" w:rsidP="00D25F53"/>
    <w:p w:rsidR="003741BF" w:rsidRPr="00703E0E" w:rsidRDefault="003741BF" w:rsidP="0092498A">
      <w:pPr>
        <w:pStyle w:val="Heading2"/>
      </w:pPr>
      <w:bookmarkStart w:id="58" w:name="_Toc307830754"/>
      <w:bookmarkStart w:id="59" w:name="_Toc326160693"/>
      <w:r w:rsidRPr="00703E0E">
        <w:t>Legal trade</w:t>
      </w:r>
      <w:bookmarkEnd w:id="58"/>
      <w:bookmarkEnd w:id="59"/>
    </w:p>
    <w:p w:rsidR="003741BF" w:rsidRPr="00703E0E" w:rsidRDefault="003741BF" w:rsidP="00D42A56">
      <w:pPr>
        <w:rPr>
          <w:i/>
        </w:rPr>
      </w:pPr>
      <w:r w:rsidRPr="00703E0E">
        <w:t xml:space="preserve">The identification of banned or severely restricted POPs as substances, in mixtures, and as appropriate in articles during import and in the country is mandatory for all Parties and essential for the success of the Stockholm Convention. </w:t>
      </w:r>
      <w:r>
        <w:rPr>
          <w:rFonts w:eastAsia="Times New Roman"/>
          <w:lang w:eastAsia="de-DE"/>
        </w:rPr>
        <w:t>T</w:t>
      </w:r>
      <w:r w:rsidRPr="00703E0E">
        <w:rPr>
          <w:rFonts w:eastAsia="Times New Roman"/>
          <w:lang w:eastAsia="de-DE"/>
        </w:rPr>
        <w:t xml:space="preserve">he provisions for elimination (Annex </w:t>
      </w:r>
      <w:proofErr w:type="gramStart"/>
      <w:r w:rsidRPr="00703E0E">
        <w:rPr>
          <w:rFonts w:eastAsia="Times New Roman"/>
          <w:lang w:eastAsia="de-DE"/>
        </w:rPr>
        <w:t>A</w:t>
      </w:r>
      <w:proofErr w:type="gramEnd"/>
      <w:r w:rsidRPr="00703E0E">
        <w:rPr>
          <w:rFonts w:eastAsia="Times New Roman"/>
          <w:lang w:eastAsia="de-DE"/>
        </w:rPr>
        <w:t xml:space="preserve"> chemicals) and restrictions (Annex B chemicals) </w:t>
      </w:r>
      <w:r w:rsidRPr="00703E0E">
        <w:t>for POPs</w:t>
      </w:r>
      <w:r>
        <w:t>, however,</w:t>
      </w:r>
      <w:r w:rsidRPr="00703E0E">
        <w:t xml:space="preserve"> </w:t>
      </w:r>
      <w:r w:rsidRPr="00703E0E">
        <w:rPr>
          <w:rFonts w:eastAsia="Times New Roman"/>
          <w:lang w:eastAsia="de-DE"/>
        </w:rPr>
        <w:t>do not apply to laboratory-scale research and to POPs reference standards.</w:t>
      </w:r>
      <w:r w:rsidRPr="00703E0E">
        <w:rPr>
          <w:i/>
        </w:rPr>
        <w:t xml:space="preserve"> </w:t>
      </w:r>
      <w:r w:rsidRPr="00703E0E">
        <w:rPr>
          <w:iCs/>
        </w:rPr>
        <w:t>For chemicals with registered exemptions/acceptable purposes ― such as lindane, endosulfan, or PFOS</w:t>
      </w:r>
      <w:r w:rsidRPr="00703E0E">
        <w:t xml:space="preserve">, its salts, PFOSF and PFOS-related chemicals ― the </w:t>
      </w:r>
      <w:r w:rsidRPr="00703E0E">
        <w:rPr>
          <w:iCs/>
        </w:rPr>
        <w:t>CAS number, chemical name, and trade names will support the control of legal trade</w:t>
      </w:r>
      <w:r w:rsidRPr="00703E0E">
        <w:t xml:space="preserve"> </w:t>
      </w:r>
      <w:r w:rsidRPr="00703E0E">
        <w:rPr>
          <w:iCs/>
        </w:rPr>
        <w:t>for exempted use(s)</w:t>
      </w:r>
      <w:r w:rsidRPr="00703E0E">
        <w:t xml:space="preserve"> and acceptable purposes.</w:t>
      </w:r>
    </w:p>
    <w:p w:rsidR="003741BF" w:rsidRPr="00703E0E" w:rsidRDefault="003741BF" w:rsidP="00D42A56">
      <w:r w:rsidRPr="00703E0E">
        <w:t xml:space="preserve">For chemicals that are contained in articles ― like </w:t>
      </w:r>
      <w:r w:rsidR="00FF6716">
        <w:t>t</w:t>
      </w:r>
      <w:r w:rsidR="00FF6716" w:rsidRPr="00FF6716">
        <w:t>etrabromodiphenyl ether and pentabromodiphenyl ether or hexabromodiphenyl ether and heptabromodiphenyl ether</w:t>
      </w:r>
      <w:r w:rsidR="00FF6716" w:rsidRPr="00FF6716" w:rsidDel="00FF6716">
        <w:t xml:space="preserve"> </w:t>
      </w:r>
      <w:r w:rsidRPr="00703E0E">
        <w:t xml:space="preserve">― and for articles containing PFOS, its salts, PFOSF and PFOS-related chemicals for exempted uses or acceptable purposes, trade names for these articles are also expected to be helpful in their control. </w:t>
      </w:r>
      <w:r w:rsidR="00D87AA2">
        <w:t xml:space="preserve">The </w:t>
      </w:r>
      <w:r w:rsidR="00A60926" w:rsidRPr="00A60926">
        <w:t>database therefore</w:t>
      </w:r>
      <w:r w:rsidRPr="00703E0E">
        <w:t xml:space="preserve"> presents information on HS codes, chemical names, CAS numbers as well as common names/trade names/generic names</w:t>
      </w:r>
      <w:r w:rsidRPr="00703E0E">
        <w:rPr>
          <w:rFonts w:eastAsia="Times New Roman"/>
          <w:lang w:eastAsia="de-DE"/>
        </w:rPr>
        <w:t xml:space="preserve"> – </w:t>
      </w:r>
      <w:r w:rsidRPr="00703E0E">
        <w:t>for lindane, DDT, endosulfan, commercial PentaBDE and commercial OctaBDE, as well as PFOS, its salts, PFOSF and PFOS-related chemicals as substances, in mixtures, and in articles. DDT, an initial POP, is included because it is still legally produced and traded for an acceptable purpose.</w:t>
      </w:r>
    </w:p>
    <w:p w:rsidR="003741BF" w:rsidRPr="00703E0E" w:rsidRDefault="003741BF" w:rsidP="0092498A">
      <w:pPr>
        <w:pStyle w:val="Heading2"/>
      </w:pPr>
      <w:bookmarkStart w:id="60" w:name="_Toc307830755"/>
      <w:bookmarkStart w:id="61" w:name="_Toc326160694"/>
      <w:r w:rsidRPr="00703E0E">
        <w:lastRenderedPageBreak/>
        <w:t>Potential for illegal trade</w:t>
      </w:r>
      <w:bookmarkEnd w:id="60"/>
      <w:bookmarkEnd w:id="61"/>
    </w:p>
    <w:p w:rsidR="003741BF" w:rsidRPr="00703E0E" w:rsidRDefault="00D87AA2" w:rsidP="00D87AA2">
      <w:pPr>
        <w:pStyle w:val="BulletLevel1"/>
        <w:numPr>
          <w:ilvl w:val="0"/>
          <w:numId w:val="0"/>
        </w:numPr>
      </w:pPr>
      <w:r w:rsidRPr="00D87AA2">
        <w:rPr>
          <w:color w:val="000000" w:themeColor="text1"/>
        </w:rPr>
        <w:t>The document</w:t>
      </w:r>
      <w:r w:rsidRPr="00D87AA2">
        <w:rPr>
          <w:i/>
        </w:rPr>
        <w:t xml:space="preserve"> </w:t>
      </w:r>
      <w:r w:rsidRPr="00A470AB">
        <w:rPr>
          <w:i/>
        </w:rPr>
        <w:t xml:space="preserve">Information on chemicals, mixtures, and </w:t>
      </w:r>
      <w:r w:rsidRPr="00A60926">
        <w:rPr>
          <w:i/>
        </w:rPr>
        <w:t>articles containing POPs listed</w:t>
      </w:r>
      <w:r w:rsidRPr="00A470AB">
        <w:rPr>
          <w:i/>
        </w:rPr>
        <w:t xml:space="preserve"> in Annexes A and B of the Stockholm Convention</w:t>
      </w:r>
      <w:r w:rsidRPr="00D87AA2">
        <w:rPr>
          <w:i/>
        </w:rPr>
        <w:t xml:space="preserve"> </w:t>
      </w:r>
      <w:r w:rsidR="003741BF" w:rsidRPr="00703E0E">
        <w:t xml:space="preserve">describes to what extent production, use, and international trade remain legal for the listed POPs ―lindane, endosulfan, DDT, PFOS, its salts and PFOSF ― as well as recycled material from articles in use containing commercial PentaBDE and OctaBDE. </w:t>
      </w:r>
    </w:p>
    <w:p w:rsidR="003741BF" w:rsidRPr="00703E0E" w:rsidRDefault="003741BF" w:rsidP="00D42A56">
      <w:r w:rsidRPr="00703E0E">
        <w:t xml:space="preserve">Specific attention needs to be given to PFOS. For this POP, Annex B of the Stockholm Convention explicitly lists the PFOS acid, its salts and PFOSF. These chemicals, as well as the PFOS-related chemicals, are regulated through Annex B as they are expected to degrade in the environment to PFOS. A list of PFOS, its salts, PFOSF and PFOS-related chemicals </w:t>
      </w:r>
      <w:r w:rsidRPr="00A60926">
        <w:t>with chemical names and CAS numbers, together with trade names and company names, can be found in</w:t>
      </w:r>
      <w:r w:rsidR="00D87AA2" w:rsidRPr="00A60926">
        <w:t xml:space="preserve"> the database.</w:t>
      </w:r>
      <w:r w:rsidR="00D87AA2">
        <w:t xml:space="preserve"> </w:t>
      </w:r>
    </w:p>
    <w:p w:rsidR="003741BF" w:rsidRPr="00703E0E" w:rsidRDefault="003741BF" w:rsidP="00D42A56">
      <w:r w:rsidRPr="00703E0E">
        <w:t>Trade names of chemicals and mixtures for newly listed POPs that are totally banned for production and use, such as α- and β-hexachlorocyclohexane or hexabromobiphenyl, are expected to be of limited value to control of the illegal trade of these chemicals. Although it is expected that importers would not use the chemical name or a common/trade name when illegally importing a banned POP, they cannot be excluded.</w:t>
      </w:r>
    </w:p>
    <w:p w:rsidR="003741BF" w:rsidRPr="00703E0E" w:rsidRDefault="0035651D" w:rsidP="00D42A56">
      <w:r w:rsidRPr="00A470AB">
        <w:t xml:space="preserve">The document </w:t>
      </w:r>
      <w:proofErr w:type="gramStart"/>
      <w:r w:rsidR="00F67673" w:rsidRPr="00A470AB">
        <w:t>P</w:t>
      </w:r>
      <w:r w:rsidR="00F67673" w:rsidRPr="00A470AB">
        <w:rPr>
          <w:i/>
        </w:rPr>
        <w:t>ossible</w:t>
      </w:r>
      <w:proofErr w:type="gramEnd"/>
      <w:r w:rsidRPr="00A470AB">
        <w:rPr>
          <w:i/>
        </w:rPr>
        <w:t xml:space="preserve"> producers/suppliers of POPs</w:t>
      </w:r>
      <w:r w:rsidR="003741BF" w:rsidRPr="00703E0E">
        <w:t xml:space="preserve"> contains the names of producers/suppliers of POPs, which customs </w:t>
      </w:r>
      <w:r w:rsidR="003741BF">
        <w:t>c</w:t>
      </w:r>
      <w:r w:rsidR="003741BF" w:rsidRPr="00703E0E">
        <w:t>ould use in a risk analysis to identify possible illegal trade. For the control of chemicals containing POPs unintentionally, customs c</w:t>
      </w:r>
      <w:r w:rsidR="003741BF">
        <w:t>ould</w:t>
      </w:r>
      <w:r w:rsidR="003741BF" w:rsidRPr="00703E0E">
        <w:t xml:space="preserve"> use “</w:t>
      </w:r>
      <w:r w:rsidR="003741BF" w:rsidRPr="00A470AB">
        <w:rPr>
          <w:i/>
        </w:rPr>
        <w:t>Chemicals contaminated with POPs</w:t>
      </w:r>
      <w:r w:rsidR="003741BF" w:rsidRPr="00A470AB">
        <w:t>”.</w:t>
      </w:r>
      <w:r w:rsidR="003741BF" w:rsidRPr="00703E0E">
        <w:t xml:space="preserve"> </w:t>
      </w:r>
    </w:p>
    <w:p w:rsidR="003741BF" w:rsidRPr="00703E0E" w:rsidRDefault="003741BF" w:rsidP="0092498A">
      <w:pPr>
        <w:pStyle w:val="Heading2"/>
      </w:pPr>
      <w:bookmarkStart w:id="62" w:name="_Toc310772911"/>
      <w:bookmarkStart w:id="63" w:name="_Toc310773372"/>
      <w:bookmarkStart w:id="64" w:name="_Toc310864082"/>
      <w:bookmarkStart w:id="65" w:name="_Toc310866864"/>
      <w:bookmarkStart w:id="66" w:name="_Toc310929570"/>
      <w:bookmarkStart w:id="67" w:name="_Toc310929624"/>
      <w:bookmarkStart w:id="68" w:name="_Toc310929677"/>
      <w:bookmarkStart w:id="69" w:name="_Toc310929850"/>
      <w:bookmarkStart w:id="70" w:name="_Toc311017990"/>
      <w:bookmarkStart w:id="71" w:name="_Toc311018041"/>
      <w:bookmarkStart w:id="72" w:name="_Toc311213166"/>
      <w:bookmarkStart w:id="73" w:name="_Toc326160695"/>
      <w:bookmarkEnd w:id="62"/>
      <w:bookmarkEnd w:id="63"/>
      <w:bookmarkEnd w:id="64"/>
      <w:bookmarkEnd w:id="65"/>
      <w:bookmarkEnd w:id="66"/>
      <w:bookmarkEnd w:id="67"/>
      <w:bookmarkEnd w:id="68"/>
      <w:bookmarkEnd w:id="69"/>
      <w:bookmarkEnd w:id="70"/>
      <w:bookmarkEnd w:id="71"/>
      <w:bookmarkEnd w:id="72"/>
      <w:r w:rsidRPr="00703E0E">
        <w:t xml:space="preserve">Use of the database for import </w:t>
      </w:r>
      <w:r w:rsidR="00D87AA2">
        <w:t xml:space="preserve">and export </w:t>
      </w:r>
      <w:r w:rsidRPr="00703E0E">
        <w:t>control</w:t>
      </w:r>
      <w:bookmarkEnd w:id="73"/>
    </w:p>
    <w:p w:rsidR="003741BF" w:rsidRPr="00703E0E" w:rsidRDefault="003741BF" w:rsidP="00D42A56">
      <w:r w:rsidRPr="00703E0E">
        <w:rPr>
          <w:bCs/>
        </w:rPr>
        <w:t xml:space="preserve">As mentioned in </w:t>
      </w:r>
      <w:r w:rsidRPr="000C0486">
        <w:rPr>
          <w:bCs/>
        </w:rPr>
        <w:t>section 2.1</w:t>
      </w:r>
      <w:r w:rsidRPr="00703E0E">
        <w:rPr>
          <w:bCs/>
        </w:rPr>
        <w:t xml:space="preserve">, different stakeholders within a country – customs authorities, local control authorities, national government authorities, and companies – </w:t>
      </w:r>
      <w:r w:rsidRPr="00703E0E">
        <w:t>need to collect the necessary information (see text box 3</w:t>
      </w:r>
      <w:r>
        <w:t>-1</w:t>
      </w:r>
      <w:r w:rsidRPr="00703E0E">
        <w:t>) to identify the POPs</w:t>
      </w:r>
      <w:r w:rsidR="00825811">
        <w:t xml:space="preserve"> </w:t>
      </w:r>
      <w:r w:rsidRPr="00703E0E">
        <w:t>as a substance, in mixtures, or in articles in the country.</w:t>
      </w:r>
    </w:p>
    <w:tbl>
      <w:tblPr>
        <w:tblpPr w:leftFromText="180" w:rightFromText="180" w:vertAnchor="text" w:horzAnchor="margin" w:tblpXSpec="center" w:tblpY="184"/>
        <w:tblW w:w="0" w:type="auto"/>
        <w:jc w:val="center"/>
        <w:tblBorders>
          <w:top w:val="single" w:sz="48" w:space="0" w:color="B6DDE8"/>
          <w:left w:val="single" w:sz="48" w:space="0" w:color="B6DDE8"/>
          <w:bottom w:val="single" w:sz="48" w:space="0" w:color="B6DDE8"/>
          <w:right w:val="single" w:sz="48" w:space="0" w:color="B6DDE8"/>
          <w:insideH w:val="single" w:sz="48" w:space="0" w:color="B6DDE8"/>
          <w:insideV w:val="single" w:sz="48" w:space="0" w:color="FFC000"/>
        </w:tblBorders>
        <w:tblLook w:val="00A0"/>
      </w:tblPr>
      <w:tblGrid>
        <w:gridCol w:w="9072"/>
      </w:tblGrid>
      <w:tr w:rsidR="003741BF" w:rsidRPr="00703E0E">
        <w:trPr>
          <w:jc w:val="center"/>
        </w:trPr>
        <w:tc>
          <w:tcPr>
            <w:tcW w:w="9072" w:type="dxa"/>
            <w:tcBorders>
              <w:top w:val="single" w:sz="48" w:space="0" w:color="B6DDE8"/>
              <w:left w:val="single" w:sz="48" w:space="0" w:color="B6DDE8"/>
              <w:bottom w:val="single" w:sz="48" w:space="0" w:color="B6DDE8"/>
              <w:right w:val="single" w:sz="48" w:space="0" w:color="B6DDE8"/>
            </w:tcBorders>
            <w:tcMar>
              <w:top w:w="113" w:type="dxa"/>
              <w:left w:w="227" w:type="dxa"/>
              <w:bottom w:w="113" w:type="dxa"/>
              <w:right w:w="227" w:type="dxa"/>
            </w:tcMar>
          </w:tcPr>
          <w:p w:rsidR="003741BF" w:rsidRPr="00703E0E" w:rsidRDefault="003741BF" w:rsidP="00C447C4">
            <w:pPr>
              <w:jc w:val="center"/>
              <w:rPr>
                <w:rFonts w:cs="Calibri"/>
                <w:b/>
                <w:highlight w:val="cyan"/>
              </w:rPr>
            </w:pPr>
            <w:r w:rsidRPr="000C0486">
              <w:rPr>
                <w:rFonts w:cs="Calibri"/>
                <w:b/>
              </w:rPr>
              <w:t>Text Box 3-1</w:t>
            </w:r>
          </w:p>
          <w:p w:rsidR="003741BF" w:rsidRPr="00E51CBF" w:rsidRDefault="003741BF" w:rsidP="00C447C4">
            <w:pPr>
              <w:jc w:val="center"/>
              <w:rPr>
                <w:rFonts w:cs="Calibri"/>
                <w:b/>
              </w:rPr>
            </w:pPr>
            <w:r w:rsidRPr="000C0486">
              <w:rPr>
                <w:rFonts w:cs="Calibri"/>
                <w:b/>
              </w:rPr>
              <w:t>Data that facilitate identification</w:t>
            </w:r>
            <w:r>
              <w:rPr>
                <w:rFonts w:cs="Calibri"/>
                <w:b/>
              </w:rPr>
              <w:t xml:space="preserve"> of POPs</w:t>
            </w:r>
          </w:p>
          <w:p w:rsidR="003741BF" w:rsidRPr="00E51CBF" w:rsidRDefault="003741BF" w:rsidP="00C447C4">
            <w:pPr>
              <w:pStyle w:val="BulletLevel1"/>
              <w:rPr>
                <w:lang w:val="en-GB"/>
              </w:rPr>
            </w:pPr>
            <w:r w:rsidRPr="000C0486">
              <w:rPr>
                <w:lang w:val="en-GB"/>
              </w:rPr>
              <w:t>Chemical name and CAS number (for POPs as a substance or in mixtures)</w:t>
            </w:r>
          </w:p>
          <w:p w:rsidR="003741BF" w:rsidRPr="00E51CBF" w:rsidRDefault="003741BF" w:rsidP="00C447C4">
            <w:pPr>
              <w:pStyle w:val="BulletLevel1"/>
              <w:rPr>
                <w:lang w:val="en-GB"/>
              </w:rPr>
            </w:pPr>
            <w:r>
              <w:rPr>
                <w:lang w:val="en-GB"/>
              </w:rPr>
              <w:t>HS</w:t>
            </w:r>
            <w:r w:rsidRPr="000C0486">
              <w:rPr>
                <w:lang w:val="en-GB"/>
              </w:rPr>
              <w:t xml:space="preserve"> code for POPs as a substance (specific or generic </w:t>
            </w:r>
            <w:r>
              <w:rPr>
                <w:lang w:val="en-GB"/>
              </w:rPr>
              <w:t>HS</w:t>
            </w:r>
            <w:r w:rsidRPr="000C0486">
              <w:rPr>
                <w:lang w:val="en-GB"/>
              </w:rPr>
              <w:t xml:space="preserve"> code) or in mixtures </w:t>
            </w:r>
          </w:p>
          <w:p w:rsidR="003741BF" w:rsidRPr="00E51CBF" w:rsidRDefault="003741BF" w:rsidP="00C447C4">
            <w:pPr>
              <w:pStyle w:val="BulletLevel1"/>
              <w:rPr>
                <w:lang w:val="en-GB"/>
              </w:rPr>
            </w:pPr>
            <w:r w:rsidRPr="000C0486">
              <w:rPr>
                <w:lang w:val="en-GB"/>
              </w:rPr>
              <w:t xml:space="preserve">Trade names/common names/generic names (for POPs as a substance or in mixtures or </w:t>
            </w:r>
            <w:r w:rsidRPr="000C0486">
              <w:rPr>
                <w:lang w:val="en-GB"/>
              </w:rPr>
              <w:br/>
              <w:t xml:space="preserve">articles) </w:t>
            </w:r>
          </w:p>
          <w:p w:rsidR="003741BF" w:rsidRPr="00E51CBF" w:rsidRDefault="003741BF" w:rsidP="00C447C4">
            <w:pPr>
              <w:pStyle w:val="BulletLevel1"/>
              <w:rPr>
                <w:lang w:val="en-GB"/>
              </w:rPr>
            </w:pPr>
            <w:r w:rsidRPr="000C0486">
              <w:rPr>
                <w:lang w:val="en-GB"/>
              </w:rPr>
              <w:t xml:space="preserve">UN number of transported goods </w:t>
            </w:r>
          </w:p>
          <w:p w:rsidR="003741BF" w:rsidRPr="00E51CBF" w:rsidRDefault="003741BF" w:rsidP="00C447C4">
            <w:pPr>
              <w:pStyle w:val="BulletLevel1"/>
              <w:rPr>
                <w:lang w:val="en-GB"/>
              </w:rPr>
            </w:pPr>
            <w:r w:rsidRPr="000C0486">
              <w:rPr>
                <w:lang w:val="en-GB"/>
              </w:rPr>
              <w:t>Classification and labelling according to the GHS with name of POPs as a substance or in mixtures and name of producer/supplier</w:t>
            </w:r>
          </w:p>
          <w:p w:rsidR="003741BF" w:rsidRPr="00703E0E" w:rsidRDefault="003741BF" w:rsidP="00C447C4">
            <w:pPr>
              <w:pStyle w:val="BulletLevel1"/>
              <w:rPr>
                <w:lang w:val="en-GB"/>
              </w:rPr>
            </w:pPr>
            <w:r w:rsidRPr="000C0486">
              <w:rPr>
                <w:lang w:val="en-GB"/>
              </w:rPr>
              <w:t>Use of the chemical and supplier</w:t>
            </w:r>
          </w:p>
        </w:tc>
      </w:tr>
    </w:tbl>
    <w:p w:rsidR="003741BF" w:rsidRPr="00703E0E" w:rsidRDefault="003741BF" w:rsidP="00D42A56"/>
    <w:p w:rsidR="003741BF" w:rsidRPr="00703E0E" w:rsidRDefault="003741BF" w:rsidP="009A60CB">
      <w:pPr>
        <w:rPr>
          <w:b/>
          <w:i/>
        </w:rPr>
      </w:pPr>
      <w:r w:rsidRPr="00A60926">
        <w:t xml:space="preserve">Comparison of the collected information with information available in the </w:t>
      </w:r>
      <w:r w:rsidR="00EC0B6E" w:rsidRPr="00A60926">
        <w:t>d</w:t>
      </w:r>
      <w:r w:rsidRPr="00A60926">
        <w:t>atabase is expected</w:t>
      </w:r>
      <w:r w:rsidRPr="00703E0E">
        <w:t xml:space="preserve"> to facilitate the control of trade of POPs as substances, in mixtures, and in articles. This procedure is one element of a monitoring system to control the import </w:t>
      </w:r>
      <w:r w:rsidR="00EC0B6E">
        <w:t xml:space="preserve">and export </w:t>
      </w:r>
      <w:r w:rsidRPr="00703E0E">
        <w:t xml:space="preserve">of POPs. </w:t>
      </w:r>
      <w:r w:rsidRPr="000C0486">
        <w:t xml:space="preserve">Different national stakeholders </w:t>
      </w:r>
      <w:r>
        <w:t xml:space="preserve">could </w:t>
      </w:r>
      <w:r w:rsidRPr="000C0486">
        <w:t>have different ways to access information that allows them to identify a POP, including those outlined below.</w:t>
      </w:r>
      <w:r w:rsidRPr="00703E0E">
        <w:t xml:space="preserve"> </w:t>
      </w:r>
    </w:p>
    <w:p w:rsidR="003741BF" w:rsidRPr="00703E0E" w:rsidRDefault="003741BF" w:rsidP="009A60CB">
      <w:pPr>
        <w:rPr>
          <w:b/>
          <w:i/>
        </w:rPr>
      </w:pPr>
    </w:p>
    <w:p w:rsidR="003741BF" w:rsidRDefault="003741BF" w:rsidP="000C0486">
      <w:pPr>
        <w:pStyle w:val="Heading3"/>
      </w:pPr>
      <w:bookmarkStart w:id="74" w:name="_Toc326160696"/>
      <w:r w:rsidRPr="00703E0E">
        <w:t>Customs authorities</w:t>
      </w:r>
      <w:bookmarkEnd w:id="74"/>
      <w:r w:rsidRPr="00703E0E">
        <w:t xml:space="preserve"> </w:t>
      </w:r>
    </w:p>
    <w:p w:rsidR="003741BF" w:rsidRPr="00703E0E" w:rsidRDefault="003741BF" w:rsidP="00D42A56">
      <w:r w:rsidRPr="00703E0E">
        <w:t xml:space="preserve">Customs papers and databases related to the imported good as chemicals, mixtures, or articles (chemical goods) provide helpful information for control of the import of POPs. </w:t>
      </w:r>
    </w:p>
    <w:p w:rsidR="003741BF" w:rsidRPr="00703E0E" w:rsidRDefault="003741BF" w:rsidP="00A74348">
      <w:pPr>
        <w:pStyle w:val="BulletLevel1"/>
        <w:rPr>
          <w:lang w:val="en-GB"/>
        </w:rPr>
      </w:pPr>
      <w:r w:rsidRPr="00703E0E">
        <w:rPr>
          <w:lang w:val="en-GB"/>
        </w:rPr>
        <w:lastRenderedPageBreak/>
        <w:t>The chemical identity</w:t>
      </w:r>
      <w:r>
        <w:rPr>
          <w:lang w:val="en-GB"/>
        </w:rPr>
        <w:t>,</w:t>
      </w:r>
      <w:r w:rsidRPr="00703E0E">
        <w:rPr>
          <w:lang w:val="en-GB"/>
        </w:rPr>
        <w:t xml:space="preserve"> if in doubt</w:t>
      </w:r>
      <w:r>
        <w:rPr>
          <w:lang w:val="en-GB"/>
        </w:rPr>
        <w:t>,</w:t>
      </w:r>
      <w:r w:rsidRPr="00703E0E">
        <w:rPr>
          <w:lang w:val="en-GB"/>
        </w:rPr>
        <w:t xml:space="preserve"> c</w:t>
      </w:r>
      <w:r>
        <w:rPr>
          <w:lang w:val="en-GB"/>
        </w:rPr>
        <w:t>an</w:t>
      </w:r>
      <w:r w:rsidRPr="00703E0E">
        <w:rPr>
          <w:lang w:val="en-GB"/>
        </w:rPr>
        <w:t xml:space="preserve"> be verified by contacting the supplier directly and</w:t>
      </w:r>
      <w:r>
        <w:rPr>
          <w:lang w:val="en-GB"/>
        </w:rPr>
        <w:t>,</w:t>
      </w:r>
      <w:r w:rsidRPr="00703E0E">
        <w:rPr>
          <w:lang w:val="en-GB"/>
        </w:rPr>
        <w:t xml:space="preserve"> if the supplier does not r</w:t>
      </w:r>
      <w:r>
        <w:rPr>
          <w:lang w:val="en-GB"/>
        </w:rPr>
        <w:t>espond, by</w:t>
      </w:r>
      <w:r w:rsidRPr="00703E0E">
        <w:rPr>
          <w:lang w:val="en-GB"/>
        </w:rPr>
        <w:t xml:space="preserve"> </w:t>
      </w:r>
      <w:r>
        <w:rPr>
          <w:lang w:val="en-GB"/>
        </w:rPr>
        <w:t>contacting</w:t>
      </w:r>
      <w:r w:rsidRPr="00703E0E">
        <w:rPr>
          <w:lang w:val="en-GB"/>
        </w:rPr>
        <w:t xml:space="preserve"> the Stockholm Convention </w:t>
      </w:r>
      <w:r>
        <w:rPr>
          <w:lang w:val="en-GB"/>
        </w:rPr>
        <w:t xml:space="preserve">national </w:t>
      </w:r>
      <w:r w:rsidRPr="00703E0E">
        <w:rPr>
          <w:lang w:val="en-GB"/>
        </w:rPr>
        <w:t xml:space="preserve">focal point of the exporting Party. The chemical good should remain under customs control until the situation is clarified.  </w:t>
      </w:r>
    </w:p>
    <w:p w:rsidR="003741BF" w:rsidRPr="00A470AB" w:rsidRDefault="003741BF" w:rsidP="00A74348">
      <w:pPr>
        <w:pStyle w:val="BulletLevel1"/>
        <w:rPr>
          <w:lang w:val="en-GB"/>
        </w:rPr>
      </w:pPr>
      <w:r w:rsidRPr="00703E0E">
        <w:rPr>
          <w:lang w:val="en-GB"/>
        </w:rPr>
        <w:t xml:space="preserve">The </w:t>
      </w:r>
      <w:r w:rsidRPr="00A470AB">
        <w:rPr>
          <w:lang w:val="en-GB"/>
        </w:rPr>
        <w:t xml:space="preserve">UN transport number can also be used to search for the identity of the good </w:t>
      </w:r>
      <w:r w:rsidRPr="00A470AB">
        <w:rPr>
          <w:i/>
          <w:lang w:val="en-GB"/>
        </w:rPr>
        <w:t>in</w:t>
      </w:r>
      <w:r w:rsidR="003C38D2" w:rsidRPr="00A470AB">
        <w:rPr>
          <w:i/>
          <w:lang w:val="en-GB"/>
        </w:rPr>
        <w:t xml:space="preserve"> the database </w:t>
      </w:r>
      <w:r w:rsidRPr="00A470AB">
        <w:rPr>
          <w:i/>
          <w:lang w:val="en-GB"/>
        </w:rPr>
        <w:t>Information on</w:t>
      </w:r>
      <w:r w:rsidR="00F8710C" w:rsidRPr="00A470AB">
        <w:rPr>
          <w:i/>
          <w:lang w:val="en-GB"/>
        </w:rPr>
        <w:t xml:space="preserve"> </w:t>
      </w:r>
      <w:r w:rsidRPr="00A470AB">
        <w:rPr>
          <w:i/>
          <w:lang w:val="en-GB"/>
        </w:rPr>
        <w:t xml:space="preserve">POPs </w:t>
      </w:r>
      <w:r w:rsidR="00F8710C" w:rsidRPr="00A470AB">
        <w:rPr>
          <w:i/>
          <w:lang w:val="en-GB"/>
        </w:rPr>
        <w:t>listed in 2009 and 2011</w:t>
      </w:r>
      <w:r w:rsidRPr="00A470AB">
        <w:rPr>
          <w:i/>
          <w:lang w:val="en-GB"/>
        </w:rPr>
        <w:t xml:space="preserve">and </w:t>
      </w:r>
      <w:proofErr w:type="gramStart"/>
      <w:r w:rsidRPr="00A470AB">
        <w:rPr>
          <w:i/>
          <w:lang w:val="en-GB"/>
        </w:rPr>
        <w:t>DDT</w:t>
      </w:r>
      <w:r w:rsidRPr="00A470AB">
        <w:rPr>
          <w:lang w:val="en-GB"/>
        </w:rPr>
        <w:t xml:space="preserve"> .</w:t>
      </w:r>
      <w:proofErr w:type="gramEnd"/>
      <w:r w:rsidRPr="00A470AB">
        <w:rPr>
          <w:i/>
          <w:lang w:val="en-GB"/>
        </w:rPr>
        <w:t xml:space="preserve"> </w:t>
      </w:r>
      <w:r w:rsidRPr="00A470AB">
        <w:rPr>
          <w:lang w:val="en-GB"/>
        </w:rPr>
        <w:t>This number is generally not chemical specific but covers large groups of chemicals.</w:t>
      </w:r>
    </w:p>
    <w:p w:rsidR="003741BF" w:rsidRPr="00703E0E" w:rsidRDefault="003741BF" w:rsidP="00A74348">
      <w:pPr>
        <w:pStyle w:val="BulletLevel1"/>
        <w:rPr>
          <w:lang w:val="en-GB"/>
        </w:rPr>
      </w:pPr>
      <w:r w:rsidRPr="00A470AB">
        <w:rPr>
          <w:lang w:val="en-GB"/>
        </w:rPr>
        <w:t xml:space="preserve">The HS code needs to be given in the customs papers together with other information that facilitates the identification of the imported goods, e.g. the use of the goods and the supplier. The HS code can be checked </w:t>
      </w:r>
      <w:r w:rsidR="005B2664" w:rsidRPr="00A470AB">
        <w:rPr>
          <w:lang w:val="en-GB"/>
        </w:rPr>
        <w:t xml:space="preserve">in </w:t>
      </w:r>
      <w:r w:rsidR="005B2664" w:rsidRPr="00A470AB">
        <w:t>Information</w:t>
      </w:r>
      <w:r w:rsidRPr="00A470AB">
        <w:rPr>
          <w:i/>
          <w:lang w:val="en-GB"/>
        </w:rPr>
        <w:t xml:space="preserve"> </w:t>
      </w:r>
      <w:r w:rsidR="00D02FBF" w:rsidRPr="00A470AB">
        <w:rPr>
          <w:i/>
          <w:lang w:val="en-GB"/>
        </w:rPr>
        <w:t>on POPs</w:t>
      </w:r>
      <w:r w:rsidR="003C38D2" w:rsidRPr="00A470AB">
        <w:rPr>
          <w:i/>
          <w:lang w:val="en-GB"/>
        </w:rPr>
        <w:t xml:space="preserve"> listed in 2009 and 2011</w:t>
      </w:r>
      <w:r w:rsidRPr="00A470AB">
        <w:rPr>
          <w:i/>
          <w:lang w:val="en-GB"/>
        </w:rPr>
        <w:t xml:space="preserve"> and DDT</w:t>
      </w:r>
      <w:r w:rsidRPr="00A470AB">
        <w:rPr>
          <w:lang w:val="en-GB"/>
        </w:rPr>
        <w:t xml:space="preserve"> and can, if</w:t>
      </w:r>
      <w:r w:rsidRPr="00703E0E">
        <w:rPr>
          <w:lang w:val="en-GB"/>
        </w:rPr>
        <w:t xml:space="preserve"> the </w:t>
      </w:r>
      <w:r>
        <w:rPr>
          <w:lang w:val="en-GB"/>
        </w:rPr>
        <w:t>HS</w:t>
      </w:r>
      <w:r w:rsidRPr="00703E0E">
        <w:rPr>
          <w:lang w:val="en-GB"/>
        </w:rPr>
        <w:t xml:space="preserve"> code is chemical specific, be used to identify the imported chemical. If the </w:t>
      </w:r>
      <w:r>
        <w:rPr>
          <w:lang w:val="en-GB"/>
        </w:rPr>
        <w:t>HS</w:t>
      </w:r>
      <w:r w:rsidRPr="00703E0E">
        <w:rPr>
          <w:lang w:val="en-GB"/>
        </w:rPr>
        <w:t xml:space="preserve"> code relates to a group of chemicals, also including a POP, this information can be used for the customs risk analysis (as described in </w:t>
      </w:r>
      <w:r>
        <w:rPr>
          <w:lang w:val="en-GB"/>
        </w:rPr>
        <w:t>s</w:t>
      </w:r>
      <w:r w:rsidRPr="00703E0E">
        <w:rPr>
          <w:lang w:val="en-GB"/>
        </w:rPr>
        <w:t xml:space="preserve">ection </w:t>
      </w:r>
      <w:r>
        <w:rPr>
          <w:lang w:val="en-GB"/>
        </w:rPr>
        <w:t>2</w:t>
      </w:r>
      <w:r w:rsidRPr="00703E0E">
        <w:rPr>
          <w:lang w:val="en-GB"/>
        </w:rPr>
        <w:t>.2</w:t>
      </w:r>
      <w:r>
        <w:rPr>
          <w:lang w:val="en-GB"/>
        </w:rPr>
        <w:t>.2</w:t>
      </w:r>
      <w:r w:rsidRPr="00703E0E">
        <w:rPr>
          <w:lang w:val="en-GB"/>
        </w:rPr>
        <w:t xml:space="preserve">) to identify possible illegal trade. </w:t>
      </w:r>
      <w:r w:rsidR="006452AB">
        <w:rPr>
          <w:lang w:val="en-GB"/>
        </w:rPr>
        <w:t xml:space="preserve">Some </w:t>
      </w:r>
      <w:r w:rsidR="006452AB">
        <w:rPr>
          <w:lang w:val="en-GB" w:eastAsia="de-DE" w:bidi="th-TH"/>
        </w:rPr>
        <w:t>r</w:t>
      </w:r>
      <w:r w:rsidRPr="00703E0E">
        <w:rPr>
          <w:lang w:val="en-GB" w:eastAsia="de-DE" w:bidi="th-TH"/>
        </w:rPr>
        <w:t xml:space="preserve">isk indicators </w:t>
      </w:r>
      <w:r w:rsidR="006452AB">
        <w:rPr>
          <w:lang w:val="en-GB" w:eastAsia="de-DE" w:bidi="th-TH"/>
        </w:rPr>
        <w:t xml:space="preserve">are described in the </w:t>
      </w:r>
      <w:r>
        <w:rPr>
          <w:lang w:val="en-GB" w:eastAsia="de-DE" w:bidi="th-TH"/>
        </w:rPr>
        <w:t>t</w:t>
      </w:r>
      <w:r w:rsidRPr="00703E0E">
        <w:rPr>
          <w:lang w:val="en-GB" w:eastAsia="de-DE" w:bidi="th-TH"/>
        </w:rPr>
        <w:t xml:space="preserve">ext </w:t>
      </w:r>
      <w:r>
        <w:rPr>
          <w:lang w:val="en-GB" w:eastAsia="de-DE" w:bidi="th-TH"/>
        </w:rPr>
        <w:t>b</w:t>
      </w:r>
      <w:r w:rsidRPr="00703E0E">
        <w:rPr>
          <w:lang w:val="en-GB" w:eastAsia="de-DE" w:bidi="th-TH"/>
        </w:rPr>
        <w:t>ox 2</w:t>
      </w:r>
      <w:r>
        <w:rPr>
          <w:lang w:val="en-GB" w:eastAsia="de-DE" w:bidi="th-TH"/>
        </w:rPr>
        <w:t>-2</w:t>
      </w:r>
      <w:r w:rsidRPr="00703E0E">
        <w:rPr>
          <w:lang w:val="en-GB" w:eastAsia="de-DE" w:bidi="th-TH"/>
        </w:rPr>
        <w:t>)</w:t>
      </w:r>
      <w:r w:rsidR="006452AB">
        <w:rPr>
          <w:lang w:val="en-GB" w:eastAsia="de-DE" w:bidi="th-TH"/>
        </w:rPr>
        <w:t xml:space="preserve">. </w:t>
      </w:r>
      <w:r w:rsidRPr="00703E0E">
        <w:rPr>
          <w:lang w:val="en-GB"/>
        </w:rPr>
        <w:t xml:space="preserve">If one or more of the risk indicators </w:t>
      </w:r>
      <w:r>
        <w:rPr>
          <w:lang w:val="en-GB"/>
        </w:rPr>
        <w:t>is</w:t>
      </w:r>
      <w:r w:rsidRPr="00703E0E">
        <w:rPr>
          <w:lang w:val="en-GB"/>
        </w:rPr>
        <w:t xml:space="preserve"> positive, the imported chemical goods </w:t>
      </w:r>
      <w:r>
        <w:rPr>
          <w:lang w:val="en-GB"/>
        </w:rPr>
        <w:t>w</w:t>
      </w:r>
      <w:r w:rsidRPr="00703E0E">
        <w:rPr>
          <w:lang w:val="en-GB"/>
        </w:rPr>
        <w:t xml:space="preserve">ould be inspected. </w:t>
      </w:r>
    </w:p>
    <w:p w:rsidR="003741BF" w:rsidRPr="00703E0E" w:rsidRDefault="003741BF" w:rsidP="00A74348">
      <w:pPr>
        <w:pStyle w:val="BulletLevel1"/>
        <w:rPr>
          <w:lang w:val="en-GB"/>
        </w:rPr>
      </w:pPr>
      <w:r>
        <w:rPr>
          <w:lang w:val="en-GB"/>
        </w:rPr>
        <w:t xml:space="preserve">The </w:t>
      </w:r>
      <w:r w:rsidRPr="00703E0E">
        <w:rPr>
          <w:lang w:val="en-GB"/>
        </w:rPr>
        <w:t xml:space="preserve">POPs chemical name and CAS number together with supplier information </w:t>
      </w:r>
      <w:r>
        <w:rPr>
          <w:lang w:val="en-GB"/>
        </w:rPr>
        <w:t>w</w:t>
      </w:r>
      <w:r w:rsidRPr="00703E0E">
        <w:rPr>
          <w:lang w:val="en-GB"/>
        </w:rPr>
        <w:t xml:space="preserve">ould appear on the label of the imported chemical goods if the POP is imported as such or in a mixture. </w:t>
      </w:r>
      <w:r>
        <w:rPr>
          <w:lang w:val="en-GB"/>
        </w:rPr>
        <w:t>This information,</w:t>
      </w:r>
      <w:r w:rsidRPr="00703E0E">
        <w:rPr>
          <w:lang w:val="en-GB"/>
        </w:rPr>
        <w:t xml:space="preserve"> i</w:t>
      </w:r>
      <w:r>
        <w:rPr>
          <w:lang w:val="en-GB"/>
        </w:rPr>
        <w:t>f</w:t>
      </w:r>
      <w:r w:rsidRPr="00703E0E">
        <w:rPr>
          <w:lang w:val="en-GB"/>
        </w:rPr>
        <w:t xml:space="preserve"> found </w:t>
      </w:r>
      <w:r>
        <w:rPr>
          <w:lang w:val="en-GB"/>
        </w:rPr>
        <w:t>during an</w:t>
      </w:r>
      <w:r w:rsidRPr="00703E0E">
        <w:rPr>
          <w:lang w:val="en-GB"/>
        </w:rPr>
        <w:t xml:space="preserve"> inspecti</w:t>
      </w:r>
      <w:r>
        <w:rPr>
          <w:lang w:val="en-GB"/>
        </w:rPr>
        <w:t>on of</w:t>
      </w:r>
      <w:r w:rsidRPr="00703E0E">
        <w:rPr>
          <w:lang w:val="en-GB"/>
        </w:rPr>
        <w:t xml:space="preserve"> the imported good, </w:t>
      </w:r>
      <w:r>
        <w:rPr>
          <w:lang w:val="en-GB"/>
        </w:rPr>
        <w:t>w</w:t>
      </w:r>
      <w:r w:rsidRPr="00703E0E">
        <w:rPr>
          <w:lang w:val="en-GB"/>
        </w:rPr>
        <w:t xml:space="preserve">ould be used to search the chemical names </w:t>
      </w:r>
      <w:r w:rsidR="00F67673" w:rsidRPr="00703E0E">
        <w:rPr>
          <w:lang w:val="en-GB"/>
        </w:rPr>
        <w:t>in</w:t>
      </w:r>
      <w:r w:rsidR="00F67673">
        <w:rPr>
          <w:lang w:val="en-GB"/>
        </w:rPr>
        <w:t xml:space="preserve"> databases</w:t>
      </w:r>
      <w:r w:rsidR="00BB6C8F">
        <w:rPr>
          <w:lang w:val="en-GB"/>
        </w:rPr>
        <w:t xml:space="preserve">. </w:t>
      </w:r>
      <w:r w:rsidRPr="00703E0E">
        <w:rPr>
          <w:lang w:val="en-GB"/>
        </w:rPr>
        <w:t xml:space="preserve">If a country </w:t>
      </w:r>
      <w:r>
        <w:rPr>
          <w:lang w:val="en-GB"/>
        </w:rPr>
        <w:t>has</w:t>
      </w:r>
      <w:r w:rsidRPr="00703E0E">
        <w:rPr>
          <w:lang w:val="en-GB"/>
        </w:rPr>
        <w:t xml:space="preserve"> a relevant authority for import permits, this authority </w:t>
      </w:r>
      <w:r>
        <w:rPr>
          <w:lang w:val="en-GB"/>
        </w:rPr>
        <w:t>c</w:t>
      </w:r>
      <w:r w:rsidRPr="00703E0E">
        <w:rPr>
          <w:lang w:val="en-GB"/>
        </w:rPr>
        <w:t xml:space="preserve">ould consider having an agreement with </w:t>
      </w:r>
      <w:r w:rsidR="003315D4" w:rsidRPr="00703E0E">
        <w:rPr>
          <w:lang w:val="en-GB"/>
        </w:rPr>
        <w:t>customs their</w:t>
      </w:r>
      <w:r>
        <w:rPr>
          <w:lang w:val="en-GB"/>
        </w:rPr>
        <w:t xml:space="preserve"> respective</w:t>
      </w:r>
      <w:r w:rsidRPr="00703E0E">
        <w:rPr>
          <w:lang w:val="en-GB"/>
        </w:rPr>
        <w:t xml:space="preserve"> roles and tasks. For example: </w:t>
      </w:r>
    </w:p>
    <w:p w:rsidR="003741BF" w:rsidRPr="00703E0E" w:rsidRDefault="003741BF" w:rsidP="00AF11C4">
      <w:pPr>
        <w:pStyle w:val="BulletLevel1"/>
        <w:numPr>
          <w:ilvl w:val="1"/>
          <w:numId w:val="2"/>
        </w:numPr>
        <w:tabs>
          <w:tab w:val="left" w:pos="1080"/>
        </w:tabs>
        <w:ind w:left="1080" w:hanging="270"/>
        <w:rPr>
          <w:i/>
        </w:rPr>
      </w:pPr>
      <w:r w:rsidRPr="00703E0E">
        <w:t xml:space="preserve">Who </w:t>
      </w:r>
      <w:r>
        <w:t>w</w:t>
      </w:r>
      <w:r w:rsidRPr="00703E0E">
        <w:t xml:space="preserve">ould be responsible </w:t>
      </w:r>
      <w:r>
        <w:t>for</w:t>
      </w:r>
      <w:r w:rsidRPr="00703E0E">
        <w:t xml:space="preserve"> </w:t>
      </w:r>
      <w:r>
        <w:t>conducting</w:t>
      </w:r>
      <w:r w:rsidRPr="00703E0E">
        <w:t xml:space="preserve"> a risk analysis to identify potential violations based on the information of the identity, supplier, exporting country, and the use</w:t>
      </w:r>
      <w:r w:rsidRPr="00703E0E">
        <w:rPr>
          <w:i/>
        </w:rPr>
        <w:t xml:space="preserve"> </w:t>
      </w:r>
      <w:r w:rsidRPr="00703E0E">
        <w:t>of the chemical good?</w:t>
      </w:r>
    </w:p>
    <w:p w:rsidR="003741BF" w:rsidRPr="00703E0E" w:rsidRDefault="003741BF" w:rsidP="00AF11C4">
      <w:pPr>
        <w:pStyle w:val="BulletLevel1"/>
        <w:numPr>
          <w:ilvl w:val="1"/>
          <w:numId w:val="2"/>
        </w:numPr>
        <w:tabs>
          <w:tab w:val="left" w:pos="1080"/>
        </w:tabs>
        <w:ind w:left="1080" w:hanging="270"/>
      </w:pPr>
      <w:r w:rsidRPr="00703E0E">
        <w:t xml:space="preserve">If the risk analysis is performed by the relevant authority for import, customs </w:t>
      </w:r>
      <w:r>
        <w:t>c</w:t>
      </w:r>
      <w:r w:rsidRPr="00703E0E">
        <w:t>ould be obliged to inspect the chemical</w:t>
      </w:r>
      <w:r w:rsidRPr="00703E0E">
        <w:rPr>
          <w:lang w:eastAsia="de-DE"/>
        </w:rPr>
        <w:t xml:space="preserve"> good and ch</w:t>
      </w:r>
      <w:r w:rsidRPr="00703E0E">
        <w:t xml:space="preserve">eck whether the information </w:t>
      </w:r>
      <w:r>
        <w:t>(</w:t>
      </w:r>
      <w:r w:rsidRPr="00703E0E">
        <w:t>such as trade, chemical name,</w:t>
      </w:r>
      <w:r w:rsidRPr="00703E0E">
        <w:rPr>
          <w:lang w:eastAsia="de-DE"/>
        </w:rPr>
        <w:t xml:space="preserve"> label, use a</w:t>
      </w:r>
      <w:r w:rsidRPr="00703E0E">
        <w:t>nd the physical appearance</w:t>
      </w:r>
      <w:r>
        <w:t>)</w:t>
      </w:r>
      <w:r w:rsidRPr="00703E0E">
        <w:t xml:space="preserve"> </w:t>
      </w:r>
      <w:r w:rsidRPr="00703E0E">
        <w:rPr>
          <w:lang w:eastAsia="de-DE"/>
        </w:rPr>
        <w:t>i</w:t>
      </w:r>
      <w:r w:rsidRPr="00703E0E">
        <w:t xml:space="preserve">s consistent with the identity </w:t>
      </w:r>
      <w:r>
        <w:t>provided</w:t>
      </w:r>
      <w:r w:rsidRPr="00703E0E">
        <w:t xml:space="preserve"> by the importer</w:t>
      </w:r>
      <w:r>
        <w:t>.</w:t>
      </w:r>
    </w:p>
    <w:p w:rsidR="003741BF" w:rsidRPr="00703E0E" w:rsidRDefault="003741BF" w:rsidP="00D42A56">
      <w:pPr>
        <w:rPr>
          <w:lang w:eastAsia="de-DE"/>
        </w:rPr>
      </w:pPr>
      <w:r w:rsidRPr="00703E0E">
        <w:rPr>
          <w:lang w:eastAsia="de-DE"/>
        </w:rPr>
        <w:t xml:space="preserve">If a POP has been identified in the imported good, it </w:t>
      </w:r>
      <w:r w:rsidR="00D55DDF">
        <w:rPr>
          <w:lang w:eastAsia="de-DE"/>
        </w:rPr>
        <w:t>sh</w:t>
      </w:r>
      <w:r w:rsidRPr="00703E0E">
        <w:rPr>
          <w:lang w:eastAsia="de-DE"/>
        </w:rPr>
        <w:t xml:space="preserve">ould be checked using the information of the legal status of the POP within the Party to determine whether the import was legal or illegal. Information on the legal import of a POP could be given to the national authority responsible for the management of POPs. </w:t>
      </w:r>
    </w:p>
    <w:p w:rsidR="0041778C" w:rsidRDefault="003741BF" w:rsidP="00D42A56">
      <w:pPr>
        <w:rPr>
          <w:lang w:eastAsia="de-DE"/>
        </w:rPr>
      </w:pPr>
      <w:r w:rsidRPr="00703E0E">
        <w:t>If a chemical has been identified that might contain a POP in Annex A or Annex B, the importer may be requested to contact the exporter</w:t>
      </w:r>
      <w:r w:rsidRPr="00703E0E">
        <w:rPr>
          <w:lang w:eastAsia="de-DE"/>
        </w:rPr>
        <w:t xml:space="preserve"> to confirm whether the chemical contains no more than an unintentional trace contaminant of that POP. If this confirmation is given, the import could be allowed. In case of doubt and if there are resources available, the POPs content could be identified by a chemical analysis. If the confirmation of the content is not provided, import </w:t>
      </w:r>
      <w:r>
        <w:rPr>
          <w:lang w:eastAsia="de-DE"/>
        </w:rPr>
        <w:t>w</w:t>
      </w:r>
      <w:r w:rsidRPr="00703E0E">
        <w:rPr>
          <w:lang w:eastAsia="de-DE"/>
        </w:rPr>
        <w:t>ould not be allowed.</w:t>
      </w:r>
      <w:r w:rsidRPr="00703E0E">
        <w:t xml:space="preserve"> </w:t>
      </w:r>
    </w:p>
    <w:p w:rsidR="003741BF" w:rsidRPr="00703E0E" w:rsidRDefault="003741BF" w:rsidP="00D42A56">
      <w:pPr>
        <w:rPr>
          <w:lang w:eastAsia="de-DE"/>
        </w:rPr>
      </w:pPr>
      <w:r w:rsidRPr="00DB3C22">
        <w:rPr>
          <w:lang w:eastAsia="de-DE"/>
        </w:rPr>
        <w:t xml:space="preserve">If the import is not legal, the management options in the Party for that situation </w:t>
      </w:r>
      <w:r w:rsidR="00D55DDF">
        <w:rPr>
          <w:lang w:eastAsia="de-DE"/>
        </w:rPr>
        <w:t>sh</w:t>
      </w:r>
      <w:r w:rsidRPr="00DB3C22">
        <w:rPr>
          <w:lang w:eastAsia="de-DE"/>
        </w:rPr>
        <w:t xml:space="preserve">ould be applied. Requesting </w:t>
      </w:r>
      <w:r>
        <w:rPr>
          <w:lang w:eastAsia="de-DE"/>
        </w:rPr>
        <w:t xml:space="preserve">that </w:t>
      </w:r>
      <w:r w:rsidRPr="00DB3C22">
        <w:rPr>
          <w:lang w:eastAsia="de-DE"/>
        </w:rPr>
        <w:t xml:space="preserve">the importer transport the good back to the exporting Party </w:t>
      </w:r>
      <w:r>
        <w:rPr>
          <w:lang w:eastAsia="de-DE"/>
        </w:rPr>
        <w:t>w</w:t>
      </w:r>
      <w:r w:rsidRPr="00DB3C22">
        <w:rPr>
          <w:lang w:eastAsia="de-DE"/>
        </w:rPr>
        <w:t xml:space="preserve">ould </w:t>
      </w:r>
      <w:r>
        <w:rPr>
          <w:lang w:eastAsia="de-DE"/>
        </w:rPr>
        <w:t xml:space="preserve">also </w:t>
      </w:r>
      <w:r w:rsidRPr="00DB3C22">
        <w:rPr>
          <w:lang w:eastAsia="de-DE"/>
        </w:rPr>
        <w:t>be considered.</w:t>
      </w:r>
    </w:p>
    <w:p w:rsidR="003741BF" w:rsidRDefault="003741BF" w:rsidP="000C0486">
      <w:pPr>
        <w:pStyle w:val="Heading3"/>
        <w:rPr>
          <w:lang w:eastAsia="de-DE"/>
        </w:rPr>
      </w:pPr>
      <w:bookmarkStart w:id="75" w:name="_Toc326160697"/>
      <w:r w:rsidRPr="00703E0E">
        <w:t>Companies</w:t>
      </w:r>
      <w:bookmarkEnd w:id="75"/>
    </w:p>
    <w:p w:rsidR="003741BF" w:rsidRPr="00703E0E" w:rsidRDefault="003741BF" w:rsidP="00D42A56">
      <w:pPr>
        <w:rPr>
          <w:bCs/>
          <w:i/>
        </w:rPr>
      </w:pPr>
      <w:r w:rsidRPr="00703E0E">
        <w:t>Companies that import chemicals, mixtures, and/or articles should</w:t>
      </w:r>
      <w:r w:rsidRPr="00703E0E">
        <w:rPr>
          <w:b/>
          <w:bCs/>
        </w:rPr>
        <w:t xml:space="preserve"> </w:t>
      </w:r>
      <w:r w:rsidRPr="00703E0E">
        <w:t xml:space="preserve">endeavour to identify POPs in the imported chemical goods and to avoid illegal trade. The information that is available to companies is normally the chemical name, or for mixtures the chemical names of the hazardous components, trade name, use, and supplier of the chemical goods. Also the </w:t>
      </w:r>
      <w:r>
        <w:t>HS</w:t>
      </w:r>
      <w:r w:rsidRPr="00703E0E">
        <w:t xml:space="preserve"> code has to be known for customs purposes. This information can be used as described under customs authorities to identify POPs. Companies that purchase or handle chemicals could request from the exporter a declaration that no POPs are contained in the imported goods. </w:t>
      </w:r>
    </w:p>
    <w:p w:rsidR="003741BF" w:rsidRDefault="003741BF" w:rsidP="000C0486">
      <w:pPr>
        <w:pStyle w:val="Heading3"/>
      </w:pPr>
      <w:bookmarkStart w:id="76" w:name="_Toc326160698"/>
      <w:r w:rsidRPr="00703E0E">
        <w:t>Local control authorities and national government authorities</w:t>
      </w:r>
      <w:bookmarkEnd w:id="76"/>
      <w:r w:rsidRPr="00703E0E">
        <w:t xml:space="preserve"> </w:t>
      </w:r>
    </w:p>
    <w:p w:rsidR="003741BF" w:rsidRPr="00703E0E" w:rsidRDefault="003741BF">
      <w:pPr>
        <w:rPr>
          <w:rFonts w:ascii="Times New Roman" w:hAnsi="Times New Roman"/>
          <w:color w:val="000000"/>
          <w:sz w:val="24"/>
          <w:szCs w:val="24"/>
        </w:rPr>
      </w:pPr>
      <w:r w:rsidRPr="00703E0E">
        <w:t xml:space="preserve">Local control authorities could request that companies supply them with a list of all POPs that are used as substances, in mixtures, or in articles used by the company or produced and marketed. Under some </w:t>
      </w:r>
      <w:r w:rsidRPr="00703E0E">
        <w:lastRenderedPageBreak/>
        <w:t xml:space="preserve">circumstances, a list of all hazardous chemicals could be required. During inspection, the list of all POPs </w:t>
      </w:r>
      <w:r>
        <w:t>w</w:t>
      </w:r>
      <w:r w:rsidRPr="00703E0E">
        <w:t xml:space="preserve">ould be verified with the information found during inspection, as described under customs authorities, to identify POPs. National </w:t>
      </w:r>
      <w:r>
        <w:t>g</w:t>
      </w:r>
      <w:r w:rsidRPr="00703E0E">
        <w:t>overnment authoritie</w:t>
      </w:r>
      <w:r>
        <w:t>s</w:t>
      </w:r>
      <w:r w:rsidRPr="00703E0E">
        <w:t xml:space="preserve"> responsible for establishing an inventory of newly listed POPs could also use the instruments to identify POPs. </w:t>
      </w:r>
      <w:r>
        <w:t>L</w:t>
      </w:r>
      <w:r w:rsidRPr="00703E0E">
        <w:t>ocal control authorities</w:t>
      </w:r>
      <w:r w:rsidRPr="00703E0E">
        <w:rPr>
          <w:color w:val="000000"/>
        </w:rPr>
        <w:t xml:space="preserve"> </w:t>
      </w:r>
      <w:r>
        <w:rPr>
          <w:color w:val="000000"/>
        </w:rPr>
        <w:t xml:space="preserve">would </w:t>
      </w:r>
      <w:r w:rsidRPr="00703E0E">
        <w:rPr>
          <w:color w:val="000000"/>
        </w:rPr>
        <w:t>cooperate with these national government authorities</w:t>
      </w:r>
      <w:r w:rsidRPr="00703E0E">
        <w:rPr>
          <w:rFonts w:ascii="Times New Roman" w:hAnsi="Times New Roman"/>
          <w:color w:val="000000"/>
          <w:sz w:val="24"/>
          <w:szCs w:val="24"/>
        </w:rPr>
        <w:t>.</w:t>
      </w:r>
    </w:p>
    <w:p w:rsidR="003741BF" w:rsidRDefault="003741BF" w:rsidP="00D279F9"/>
    <w:p w:rsidR="003741BF" w:rsidRDefault="003741BF" w:rsidP="00D279F9"/>
    <w:tbl>
      <w:tblPr>
        <w:tblpPr w:leftFromText="187" w:rightFromText="187" w:vertAnchor="page" w:horzAnchor="margin" w:tblpXSpec="center" w:tblpY="6967"/>
        <w:tblW w:w="0" w:type="auto"/>
        <w:tblBorders>
          <w:top w:val="single" w:sz="48" w:space="0" w:color="B6DDE8"/>
          <w:left w:val="single" w:sz="48" w:space="0" w:color="B6DDE8"/>
          <w:bottom w:val="single" w:sz="48" w:space="0" w:color="B6DDE8"/>
          <w:right w:val="single" w:sz="48" w:space="0" w:color="B6DDE8"/>
          <w:insideH w:val="single" w:sz="48" w:space="0" w:color="B6DDE8"/>
          <w:insideV w:val="single" w:sz="48" w:space="0" w:color="FFC000"/>
        </w:tblBorders>
        <w:tblLook w:val="00A0"/>
      </w:tblPr>
      <w:tblGrid>
        <w:gridCol w:w="9072"/>
      </w:tblGrid>
      <w:tr w:rsidR="003741BF" w:rsidRPr="00703E0E">
        <w:trPr>
          <w:trHeight w:val="6337"/>
        </w:trPr>
        <w:tc>
          <w:tcPr>
            <w:tcW w:w="9072" w:type="dxa"/>
            <w:tcBorders>
              <w:top w:val="single" w:sz="48" w:space="0" w:color="B6DDE8"/>
              <w:left w:val="single" w:sz="48" w:space="0" w:color="B6DDE8"/>
              <w:bottom w:val="single" w:sz="48" w:space="0" w:color="B6DDE8"/>
              <w:right w:val="single" w:sz="48" w:space="0" w:color="B6DDE8"/>
            </w:tcBorders>
            <w:tcMar>
              <w:top w:w="113" w:type="dxa"/>
              <w:left w:w="227" w:type="dxa"/>
              <w:bottom w:w="113" w:type="dxa"/>
              <w:right w:w="227" w:type="dxa"/>
            </w:tcMar>
          </w:tcPr>
          <w:p w:rsidR="003741BF" w:rsidRPr="00703E0E" w:rsidRDefault="003741BF" w:rsidP="00E378C2">
            <w:pPr>
              <w:jc w:val="center"/>
              <w:rPr>
                <w:rFonts w:cs="Calibri"/>
                <w:b/>
              </w:rPr>
            </w:pPr>
            <w:r w:rsidRPr="00703E0E">
              <w:rPr>
                <w:rFonts w:cs="Calibri"/>
                <w:b/>
              </w:rPr>
              <w:t xml:space="preserve">Elements to be considered for </w:t>
            </w:r>
            <w:r>
              <w:rPr>
                <w:rFonts w:cs="Calibri"/>
                <w:b/>
              </w:rPr>
              <w:t>c</w:t>
            </w:r>
            <w:r w:rsidRPr="00703E0E">
              <w:rPr>
                <w:rFonts w:cs="Calibri"/>
                <w:b/>
              </w:rPr>
              <w:t xml:space="preserve">ustoms </w:t>
            </w:r>
            <w:r>
              <w:rPr>
                <w:rFonts w:cs="Calibri"/>
                <w:b/>
              </w:rPr>
              <w:t>c</w:t>
            </w:r>
            <w:r w:rsidRPr="00703E0E">
              <w:rPr>
                <w:rFonts w:cs="Calibri"/>
                <w:b/>
              </w:rPr>
              <w:t>ontrol</w:t>
            </w:r>
          </w:p>
          <w:p w:rsidR="003741BF" w:rsidRPr="00703E0E" w:rsidRDefault="003741BF" w:rsidP="00E378C2">
            <w:pPr>
              <w:ind w:left="360" w:hanging="360"/>
              <w:jc w:val="left"/>
            </w:pPr>
            <w:r w:rsidRPr="00703E0E">
              <w:t xml:space="preserve">√ </w:t>
            </w:r>
            <w:r w:rsidRPr="00703E0E">
              <w:tab/>
              <w:t>Are the officers familiar with the legal basis for control of POPs chemicals and obligations of the Parties?</w:t>
            </w:r>
          </w:p>
          <w:p w:rsidR="003741BF" w:rsidRPr="00703E0E" w:rsidRDefault="003741BF" w:rsidP="00E378C2">
            <w:pPr>
              <w:ind w:left="360" w:hanging="360"/>
              <w:jc w:val="left"/>
            </w:pPr>
            <w:r w:rsidRPr="00703E0E">
              <w:t xml:space="preserve">√ </w:t>
            </w:r>
            <w:r w:rsidRPr="00703E0E">
              <w:tab/>
              <w:t xml:space="preserve">Do they recognize the hazardous chemical designations and characteristics of the new POPs chemicals following training or participation in information awareness-raising programmes? </w:t>
            </w:r>
          </w:p>
          <w:p w:rsidR="003741BF" w:rsidRPr="00703E0E" w:rsidRDefault="003741BF" w:rsidP="00E378C2">
            <w:pPr>
              <w:ind w:left="360" w:hanging="360"/>
              <w:jc w:val="left"/>
            </w:pPr>
            <w:r w:rsidRPr="00703E0E">
              <w:t xml:space="preserve">√ </w:t>
            </w:r>
            <w:r w:rsidRPr="00703E0E">
              <w:tab/>
              <w:t>Have they been provided with access to the range of databases that list, for example, POPs chemical data, suppliers, and trade names?</w:t>
            </w:r>
          </w:p>
          <w:p w:rsidR="003741BF" w:rsidRPr="00703E0E" w:rsidRDefault="003741BF" w:rsidP="00E378C2">
            <w:pPr>
              <w:ind w:left="360" w:hanging="360"/>
              <w:jc w:val="left"/>
            </w:pPr>
            <w:r w:rsidRPr="00703E0E">
              <w:t xml:space="preserve">√ </w:t>
            </w:r>
            <w:r w:rsidRPr="00703E0E">
              <w:tab/>
              <w:t>Have the data and information provided been transferred in a suitable format, to local and national government authorities and chemical importers?</w:t>
            </w:r>
          </w:p>
          <w:p w:rsidR="003741BF" w:rsidRPr="00703E0E" w:rsidRDefault="003741BF" w:rsidP="00E378C2">
            <w:pPr>
              <w:ind w:left="360" w:hanging="360"/>
              <w:jc w:val="left"/>
            </w:pPr>
            <w:r w:rsidRPr="00703E0E">
              <w:t xml:space="preserve">√ </w:t>
            </w:r>
            <w:r w:rsidRPr="00703E0E">
              <w:tab/>
              <w:t>Have the data and information provided bee</w:t>
            </w:r>
            <w:r>
              <w:t>n relayed to the National POPs f</w:t>
            </w:r>
            <w:r w:rsidRPr="00703E0E">
              <w:t xml:space="preserve">ocal </w:t>
            </w:r>
            <w:r>
              <w:t>p</w:t>
            </w:r>
            <w:r w:rsidRPr="00703E0E">
              <w:t>oint?</w:t>
            </w:r>
          </w:p>
          <w:p w:rsidR="003741BF" w:rsidRPr="00703E0E" w:rsidRDefault="003741BF" w:rsidP="00E378C2">
            <w:pPr>
              <w:ind w:left="360" w:hanging="360"/>
              <w:jc w:val="left"/>
            </w:pPr>
            <w:r w:rsidRPr="00703E0E">
              <w:t xml:space="preserve">√ </w:t>
            </w:r>
            <w:r w:rsidRPr="00703E0E">
              <w:tab/>
              <w:t>Are they familiar with the new Harmonized Customs codes being applied to the same specific chemicals that are also subject to the Rotterdam Convention and aware of the ongoing cooperation between the two organizations?</w:t>
            </w:r>
          </w:p>
          <w:p w:rsidR="003741BF" w:rsidRPr="00703E0E" w:rsidRDefault="003741BF" w:rsidP="00E378C2">
            <w:pPr>
              <w:ind w:left="360" w:hanging="360"/>
              <w:jc w:val="left"/>
            </w:pPr>
            <w:r w:rsidRPr="00703E0E">
              <w:t xml:space="preserve">√ </w:t>
            </w:r>
            <w:r w:rsidRPr="00703E0E">
              <w:tab/>
              <w:t>Are they familiar with the hazard warning signs and pictograms associated with hazardous chemicals designated by the UN’s Recommendations on the Transport of Dangerous Goods and the GHS?</w:t>
            </w:r>
          </w:p>
          <w:p w:rsidR="003741BF" w:rsidRPr="00703E0E" w:rsidRDefault="003741BF" w:rsidP="00E378C2">
            <w:pPr>
              <w:ind w:left="360" w:hanging="360"/>
              <w:jc w:val="left"/>
            </w:pPr>
            <w:r w:rsidRPr="00703E0E">
              <w:t xml:space="preserve">√ </w:t>
            </w:r>
            <w:r w:rsidRPr="00703E0E">
              <w:tab/>
              <w:t>Have they successfully applied the risk analysis approach to goods that may assist with the identification of risks associated with the import of specific POPs chemicals, especially as mixtures and/or in articles?</w:t>
            </w:r>
          </w:p>
        </w:tc>
      </w:tr>
    </w:tbl>
    <w:p w:rsidR="003741BF" w:rsidRPr="00703E0E" w:rsidRDefault="003741BF" w:rsidP="00D279F9"/>
    <w:sectPr w:rsidR="003741BF" w:rsidRPr="00703E0E" w:rsidSect="00F63353">
      <w:headerReference w:type="even" r:id="rId21"/>
      <w:headerReference w:type="default" r:id="rId22"/>
      <w:headerReference w:type="first" r:id="rId23"/>
      <w:pgSz w:w="11907" w:h="16840"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E2" w:rsidRDefault="00110EE2" w:rsidP="00910B5E">
      <w:r>
        <w:separator/>
      </w:r>
    </w:p>
  </w:endnote>
  <w:endnote w:type="continuationSeparator" w:id="0">
    <w:p w:rsidR="00110EE2" w:rsidRDefault="00110EE2" w:rsidP="00910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39" w:rsidRDefault="001739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39" w:rsidRDefault="001739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39" w:rsidRDefault="00173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E2" w:rsidRDefault="00110EE2" w:rsidP="00910B5E">
      <w:r>
        <w:separator/>
      </w:r>
    </w:p>
  </w:footnote>
  <w:footnote w:type="continuationSeparator" w:id="0">
    <w:p w:rsidR="00110EE2" w:rsidRDefault="00110EE2" w:rsidP="00910B5E">
      <w:r>
        <w:continuationSeparator/>
      </w:r>
    </w:p>
  </w:footnote>
  <w:footnote w:id="1">
    <w:p w:rsidR="007E03DD" w:rsidRDefault="007E03DD" w:rsidP="00FB2886">
      <w:pPr>
        <w:pStyle w:val="FootnoteText"/>
        <w:jc w:val="left"/>
      </w:pPr>
      <w:r>
        <w:rPr>
          <w:rStyle w:val="FootnoteReference"/>
        </w:rPr>
        <w:footnoteRef/>
      </w:r>
      <w:r w:rsidRPr="00A41FB5">
        <w:rPr>
          <w:lang w:val="en-US"/>
        </w:rPr>
        <w:t xml:space="preserve"> While not </w:t>
      </w:r>
      <w:r>
        <w:rPr>
          <w:lang w:val="en-US"/>
        </w:rPr>
        <w:t>addressing</w:t>
      </w:r>
      <w:r w:rsidRPr="00A41FB5">
        <w:rPr>
          <w:lang w:val="en-US"/>
        </w:rPr>
        <w:t xml:space="preserve"> POPs chemicals, UNEP</w:t>
      </w:r>
      <w:r>
        <w:rPr>
          <w:lang w:val="en-US"/>
        </w:rPr>
        <w:t>’s</w:t>
      </w:r>
      <w:r w:rsidRPr="00A41FB5">
        <w:rPr>
          <w:lang w:val="en-US"/>
        </w:rPr>
        <w:t xml:space="preserve"> </w:t>
      </w:r>
      <w:r w:rsidRPr="00CD1E71">
        <w:rPr>
          <w:i/>
          <w:lang w:val="en-US"/>
        </w:rPr>
        <w:t xml:space="preserve">Inventory of </w:t>
      </w:r>
      <w:r>
        <w:rPr>
          <w:i/>
          <w:lang w:val="en-US"/>
        </w:rPr>
        <w:t>T</w:t>
      </w:r>
      <w:r w:rsidRPr="00CD1E71">
        <w:rPr>
          <w:i/>
          <w:lang w:val="en-US"/>
        </w:rPr>
        <w:t xml:space="preserve">rade </w:t>
      </w:r>
      <w:r>
        <w:rPr>
          <w:i/>
          <w:lang w:val="en-US"/>
        </w:rPr>
        <w:t>N</w:t>
      </w:r>
      <w:r w:rsidRPr="00CD1E71">
        <w:rPr>
          <w:i/>
          <w:lang w:val="en-US"/>
        </w:rPr>
        <w:t xml:space="preserve">ames of </w:t>
      </w:r>
      <w:r>
        <w:rPr>
          <w:i/>
          <w:lang w:val="en-US"/>
        </w:rPr>
        <w:t>C</w:t>
      </w:r>
      <w:r w:rsidRPr="00CD1E71">
        <w:rPr>
          <w:i/>
          <w:lang w:val="en-US"/>
        </w:rPr>
        <w:t xml:space="preserve">hemical </w:t>
      </w:r>
      <w:r>
        <w:rPr>
          <w:i/>
          <w:lang w:val="en-US"/>
        </w:rPr>
        <w:t>P</w:t>
      </w:r>
      <w:r w:rsidRPr="00CD1E71">
        <w:rPr>
          <w:i/>
          <w:lang w:val="en-US"/>
        </w:rPr>
        <w:t xml:space="preserve">roducts </w:t>
      </w:r>
      <w:r>
        <w:rPr>
          <w:i/>
          <w:lang w:val="en-US"/>
        </w:rPr>
        <w:t>C</w:t>
      </w:r>
      <w:r w:rsidRPr="00CD1E71">
        <w:rPr>
          <w:i/>
          <w:lang w:val="en-US"/>
        </w:rPr>
        <w:t xml:space="preserve">ontaining </w:t>
      </w:r>
      <w:r>
        <w:rPr>
          <w:i/>
          <w:lang w:val="en-US"/>
        </w:rPr>
        <w:t>O</w:t>
      </w:r>
      <w:r w:rsidRPr="00CD1E71">
        <w:rPr>
          <w:i/>
          <w:lang w:val="en-US"/>
        </w:rPr>
        <w:t xml:space="preserve">zone </w:t>
      </w:r>
      <w:r>
        <w:rPr>
          <w:i/>
          <w:lang w:val="en-US"/>
        </w:rPr>
        <w:t>D</w:t>
      </w:r>
      <w:r w:rsidRPr="00CD1E71">
        <w:rPr>
          <w:i/>
          <w:lang w:val="en-US"/>
        </w:rPr>
        <w:t xml:space="preserve">epletion </w:t>
      </w:r>
      <w:r>
        <w:rPr>
          <w:i/>
          <w:lang w:val="en-US"/>
        </w:rPr>
        <w:t>S</w:t>
      </w:r>
      <w:r w:rsidRPr="00CD1E71">
        <w:rPr>
          <w:i/>
          <w:lang w:val="en-US"/>
        </w:rPr>
        <w:t xml:space="preserve">ubstances and their </w:t>
      </w:r>
      <w:r>
        <w:rPr>
          <w:i/>
          <w:lang w:val="en-US"/>
        </w:rPr>
        <w:t>A</w:t>
      </w:r>
      <w:r w:rsidRPr="00CD1E71">
        <w:rPr>
          <w:i/>
          <w:lang w:val="en-US"/>
        </w:rPr>
        <w:t>lternatives</w:t>
      </w:r>
      <w:r w:rsidRPr="00A41FB5">
        <w:rPr>
          <w:lang w:val="en-US"/>
        </w:rPr>
        <w:t xml:space="preserve"> also provides useful examples</w:t>
      </w:r>
      <w:r>
        <w:rPr>
          <w:lang w:val="en-US"/>
        </w:rPr>
        <w:t>:</w:t>
      </w:r>
      <w:r w:rsidRPr="00A41FB5">
        <w:rPr>
          <w:lang w:val="en-US"/>
        </w:rPr>
        <w:t xml:space="preserve">  </w:t>
      </w:r>
      <w:hyperlink r:id="rId1" w:history="1">
        <w:r w:rsidRPr="00CD1E71">
          <w:rPr>
            <w:rStyle w:val="Hyperlink"/>
          </w:rPr>
          <w:t>http://www.unep.fr/ozonaction/information/mmcfiles/3328-e.pdf</w:t>
        </w:r>
      </w:hyperlink>
    </w:p>
  </w:footnote>
  <w:footnote w:id="2">
    <w:p w:rsidR="007E03DD" w:rsidRDefault="007E03DD" w:rsidP="007C2795">
      <w:pPr>
        <w:pStyle w:val="FootnoteText"/>
      </w:pPr>
      <w:r>
        <w:rPr>
          <w:rStyle w:val="FootnoteReference"/>
        </w:rPr>
        <w:footnoteRef/>
      </w:r>
      <w:r w:rsidRPr="00373333">
        <w:rPr>
          <w:lang w:val="en-US"/>
        </w:rPr>
        <w:t xml:space="preserve"> </w:t>
      </w:r>
      <w:hyperlink r:id="rId2" w:history="1">
        <w:r w:rsidRPr="00373333">
          <w:rPr>
            <w:rStyle w:val="Hyperlink"/>
            <w:lang w:val="en-US"/>
          </w:rPr>
          <w:t>http://chm.pops.int/Implementation/Exemptions/Articlesinuse/tabid/452/Default.aspx</w:t>
        </w:r>
      </w:hyperlink>
      <w:r w:rsidRPr="00373333">
        <w:rPr>
          <w:lang w:val="en-US"/>
        </w:rPr>
        <w:t xml:space="preserve"> </w:t>
      </w:r>
    </w:p>
  </w:footnote>
  <w:footnote w:id="3">
    <w:p w:rsidR="00B55B24" w:rsidRDefault="00B55B24" w:rsidP="00CB303A">
      <w:pPr>
        <w:pStyle w:val="NormalWeb"/>
        <w:rPr>
          <w:lang w:val="en-US"/>
        </w:rPr>
      </w:pPr>
      <w:r w:rsidRPr="00564E31">
        <w:rPr>
          <w:rStyle w:val="FootnoteReference"/>
          <w:rFonts w:ascii="Calibri" w:hAnsi="Calibri" w:cs="Calibri"/>
          <w:color w:val="000000"/>
          <w:sz w:val="20"/>
          <w:szCs w:val="20"/>
          <w:lang w:val="en-GB"/>
        </w:rPr>
        <w:t>[1]</w:t>
      </w:r>
      <w:r w:rsidRPr="00564E31">
        <w:rPr>
          <w:rFonts w:ascii="Calibri" w:hAnsi="Calibri" w:cs="Calibri"/>
          <w:color w:val="000000"/>
          <w:sz w:val="20"/>
          <w:szCs w:val="20"/>
          <w:lang w:val="en-GB"/>
        </w:rPr>
        <w:t xml:space="preserve"> </w:t>
      </w:r>
      <w:r>
        <w:rPr>
          <w:rFonts w:ascii="Calibri" w:hAnsi="Calibri" w:cs="Calibri"/>
          <w:color w:val="000000"/>
          <w:sz w:val="20"/>
          <w:szCs w:val="20"/>
          <w:lang w:val="en-US"/>
        </w:rPr>
        <w:t xml:space="preserve">In principle, the amendment concerning Endosulfan enters into force on </w:t>
      </w:r>
      <w:r>
        <w:rPr>
          <w:rFonts w:ascii="Calibri" w:hAnsi="Calibri" w:cs="Calibri"/>
          <w:b/>
          <w:bCs/>
          <w:color w:val="000000"/>
          <w:sz w:val="20"/>
          <w:szCs w:val="20"/>
          <w:lang w:val="en-US"/>
        </w:rPr>
        <w:t>27 October 2012</w:t>
      </w:r>
      <w:r>
        <w:rPr>
          <w:rFonts w:ascii="Calibri" w:hAnsi="Calibri" w:cs="Calibri"/>
          <w:color w:val="000000"/>
          <w:sz w:val="20"/>
          <w:szCs w:val="20"/>
          <w:lang w:val="en-US"/>
        </w:rPr>
        <w:t xml:space="preserve">, i.e. at the expiry of one (1) year after the communication by the Depositary of the adoption of the amendment. However, the amendment shall not enter into force on that date for those Parties that have submitted a </w:t>
      </w:r>
      <w:r>
        <w:rPr>
          <w:rFonts w:ascii="Calibri" w:hAnsi="Calibri" w:cs="Calibri"/>
          <w:b/>
          <w:bCs/>
          <w:color w:val="000000"/>
          <w:sz w:val="20"/>
          <w:szCs w:val="20"/>
          <w:lang w:val="en-US"/>
        </w:rPr>
        <w:t>notification</w:t>
      </w:r>
      <w:r>
        <w:rPr>
          <w:rFonts w:ascii="Calibri" w:hAnsi="Calibri" w:cs="Calibri"/>
          <w:color w:val="000000"/>
          <w:sz w:val="20"/>
          <w:szCs w:val="20"/>
          <w:lang w:val="en-US"/>
        </w:rPr>
        <w:t xml:space="preserve"> pursuant to the provisions of paragraph 3(b) of Article 22 of the Stockholm Convention. Also, in accordance with paragraph 4 of article 22, the amendment will not enter into force with respect to any Party that has made a </w:t>
      </w:r>
      <w:r>
        <w:rPr>
          <w:rFonts w:ascii="Calibri" w:hAnsi="Calibri" w:cs="Calibri"/>
          <w:b/>
          <w:bCs/>
          <w:color w:val="000000"/>
          <w:sz w:val="20"/>
          <w:szCs w:val="20"/>
          <w:lang w:val="en-US"/>
        </w:rPr>
        <w:t>declaration</w:t>
      </w:r>
      <w:r>
        <w:rPr>
          <w:rFonts w:ascii="Calibri" w:hAnsi="Calibri" w:cs="Calibri"/>
          <w:color w:val="000000"/>
          <w:sz w:val="20"/>
          <w:szCs w:val="20"/>
          <w:lang w:val="en-US"/>
        </w:rPr>
        <w:t xml:space="preserve"> regarding the amendment to the Annexes in accordance with paragraph 4 of article 25. Such Parties shall deposit their instruments of ratification regarding the amendment, in which case the amendment shall enter into force for the Party on the ninetieth (90) day after the date of deposit with the Depositary.</w:t>
      </w:r>
    </w:p>
  </w:footnote>
  <w:footnote w:id="4">
    <w:p w:rsidR="00D27EA2" w:rsidRPr="00A1677D" w:rsidRDefault="00D27EA2" w:rsidP="00D27EA2">
      <w:pPr>
        <w:pStyle w:val="FootnoteText"/>
        <w:rPr>
          <w:rFonts w:asciiTheme="minorHAnsi" w:eastAsia="Calibri" w:hAnsiTheme="minorHAnsi" w:cstheme="minorHAnsi"/>
          <w:color w:val="000000" w:themeColor="text1"/>
          <w:lang w:val="en-US" w:eastAsia="de-DE" w:bidi="th-TH"/>
        </w:rPr>
      </w:pPr>
      <w:r>
        <w:rPr>
          <w:rStyle w:val="FootnoteReference"/>
        </w:rPr>
        <w:footnoteRef/>
      </w:r>
      <w:r>
        <w:t xml:space="preserve"> </w:t>
      </w:r>
      <w:r w:rsidR="00075C0C">
        <w:t xml:space="preserve">For </w:t>
      </w:r>
      <w:r w:rsidR="00A1677D">
        <w:t xml:space="preserve">Stockholm Convention </w:t>
      </w:r>
      <w:r w:rsidRPr="00A1677D">
        <w:rPr>
          <w:rFonts w:asciiTheme="minorHAnsi" w:eastAsia="Calibri" w:hAnsiTheme="minorHAnsi" w:cstheme="minorHAnsi"/>
          <w:color w:val="000000" w:themeColor="text1"/>
          <w:lang w:val="en-US" w:eastAsia="de-DE" w:bidi="th-TH"/>
        </w:rPr>
        <w:t>“Hexabromodiphenyl ether and heptabromodiphenyl ether” means 2,2’,4,4’,5,5’-hexabromodiphenyl ether (BDE-153, CAS No: 68631-49-2), 2,2’,4,4’,5,6’-hexabromodiphenyl ether (BDE-154, CAS No: 207122-15-4), 2,2’,3,3’,4,5’,6-heptabromodiphenyl ether (BDE-175, CAS No: 446255-22-7), 2,2’,3,4,4’,5’,6-heptabromodiphenyl ether (BDE-183, CAS No: 207122-16-5) and other hexa- and heptabromodiphenyl ethers present in com</w:t>
      </w:r>
      <w:r w:rsidR="006A3521">
        <w:rPr>
          <w:rFonts w:asciiTheme="minorHAnsi" w:eastAsia="Calibri" w:hAnsiTheme="minorHAnsi" w:cstheme="minorHAnsi"/>
          <w:color w:val="000000" w:themeColor="text1"/>
          <w:lang w:val="en-US" w:eastAsia="de-DE" w:bidi="th-TH"/>
        </w:rPr>
        <w:t xml:space="preserve">mercial octabromodiphenyl ether. And </w:t>
      </w:r>
      <w:r w:rsidRPr="00A1677D">
        <w:rPr>
          <w:rFonts w:asciiTheme="minorHAnsi" w:eastAsia="Calibri" w:hAnsiTheme="minorHAnsi" w:cstheme="minorHAnsi"/>
          <w:color w:val="000000" w:themeColor="text1"/>
          <w:lang w:val="en-US" w:eastAsia="de-DE" w:bidi="th-TH"/>
        </w:rPr>
        <w:t>“Tetrabromodiphenyl ether and pentabromodiphenyl ether” means 2,2’,4,4’-tetrabromodiphenyl ether (BDE-47, CAS No: 5436-43-1) and 2,2’,4,4’,5-pentabromodiphenyl ether (BDE-99, CAS No: 60348-60-9) and other tetra- and pentabromodiphenyl ethers present in commercial pentabromodiphenyl ether.</w:t>
      </w:r>
    </w:p>
  </w:footnote>
  <w:footnote w:id="5">
    <w:p w:rsidR="00DD3D17" w:rsidRPr="00DD3D17" w:rsidRDefault="00DD3D17">
      <w:pPr>
        <w:pStyle w:val="FootnoteText"/>
      </w:pPr>
      <w:r>
        <w:rPr>
          <w:rStyle w:val="FootnoteReference"/>
        </w:rPr>
        <w:footnoteRef/>
      </w:r>
      <w:r>
        <w:t xml:space="preserve"> </w:t>
      </w:r>
      <w:hyperlink r:id="rId3" w:history="1">
        <w:r w:rsidRPr="00497479">
          <w:rPr>
            <w:rStyle w:val="Hyperlink"/>
            <w:sz w:val="22"/>
            <w:szCs w:val="22"/>
          </w:rPr>
          <w:t>http://chm.pops.int/Implementation/Exemptions/ExporttoanonPartyState/tabid/2573/Default.aspx</w:t>
        </w:r>
      </w:hyperlink>
      <w:r>
        <w:rPr>
          <w:sz w:val="22"/>
          <w:szCs w:val="22"/>
        </w:rPr>
        <w:t xml:space="preserve"> </w:t>
      </w:r>
    </w:p>
  </w:footnote>
  <w:footnote w:id="6">
    <w:p w:rsidR="007E03DD" w:rsidRDefault="007E03DD" w:rsidP="00681E6C">
      <w:pPr>
        <w:pStyle w:val="FootnoteText"/>
        <w:jc w:val="left"/>
      </w:pPr>
      <w:r>
        <w:rPr>
          <w:rStyle w:val="FootnoteReference"/>
        </w:rPr>
        <w:footnoteRef/>
      </w:r>
      <w:r w:rsidRPr="00373333">
        <w:rPr>
          <w:lang w:val="en-US"/>
        </w:rPr>
        <w:t xml:space="preserve"> </w:t>
      </w:r>
      <w:hyperlink r:id="rId4" w:history="1">
        <w:r w:rsidRPr="00373333">
          <w:rPr>
            <w:rStyle w:val="Hyperlink"/>
            <w:lang w:val="en-US"/>
          </w:rPr>
          <w:t>http://chm.pops.int/Implementation/Exemptions/RegisterofSpecificExemptions/tabid/1133/Default.aspx</w:t>
        </w:r>
      </w:hyperlink>
      <w:r w:rsidRPr="00373333">
        <w:rPr>
          <w:lang w:val="en-US"/>
        </w:rPr>
        <w:t xml:space="preserve"> </w:t>
      </w:r>
    </w:p>
  </w:footnote>
  <w:footnote w:id="7">
    <w:p w:rsidR="007E03DD" w:rsidRDefault="007E03DD" w:rsidP="00681E6C">
      <w:pPr>
        <w:pStyle w:val="FootnoteText"/>
        <w:jc w:val="left"/>
      </w:pPr>
      <w:r>
        <w:rPr>
          <w:rStyle w:val="FootnoteReference"/>
        </w:rPr>
        <w:footnoteRef/>
      </w:r>
      <w:r>
        <w:rPr>
          <w:lang w:val="en-US"/>
        </w:rPr>
        <w:t xml:space="preserve"> </w:t>
      </w:r>
      <w:hyperlink r:id="rId5" w:history="1">
        <w:r w:rsidRPr="00373333">
          <w:rPr>
            <w:rStyle w:val="Hyperlink"/>
            <w:lang w:val="en-US"/>
          </w:rPr>
          <w:t>http://chm.pops.int/Implementation/Exemptions/AcceptablepurposesDDTRegister/tabid/456/Default.aspx</w:t>
        </w:r>
      </w:hyperlink>
      <w:r>
        <w:t xml:space="preserve">, </w:t>
      </w:r>
      <w:r w:rsidRPr="00373333">
        <w:rPr>
          <w:lang w:val="en-US"/>
        </w:rPr>
        <w:br/>
      </w:r>
      <w:hyperlink r:id="rId6" w:history="1">
        <w:r w:rsidRPr="007F5679">
          <w:rPr>
            <w:rStyle w:val="Hyperlink"/>
            <w:lang w:val="en-US"/>
          </w:rPr>
          <w:t>http://chm.pops.int/Implementation/Exemptions/AcceptablepurposesPFOSandPFOSFRegister/tabid/794/</w:t>
        </w:r>
        <w:r w:rsidRPr="007F5679">
          <w:rPr>
            <w:rStyle w:val="Hyperlink"/>
            <w:lang w:val="en-US"/>
          </w:rPr>
          <w:br/>
        </w:r>
        <w:proofErr w:type="spellStart"/>
        <w:r w:rsidRPr="007F5679">
          <w:rPr>
            <w:rStyle w:val="Hyperlink"/>
            <w:lang w:val="en-US"/>
          </w:rPr>
          <w:t>Default.aspx</w:t>
        </w:r>
        <w:proofErr w:type="spellEnd"/>
      </w:hyperlink>
      <w:r w:rsidRPr="00373333">
        <w:rPr>
          <w:lang w:val="en-US"/>
        </w:rPr>
        <w:t xml:space="preserve">   </w:t>
      </w:r>
    </w:p>
  </w:footnote>
  <w:footnote w:id="8">
    <w:p w:rsidR="007E03DD" w:rsidRDefault="007E03DD">
      <w:pPr>
        <w:pStyle w:val="FootnoteText"/>
      </w:pPr>
      <w:r>
        <w:rPr>
          <w:rStyle w:val="FootnoteReference"/>
        </w:rPr>
        <w:footnoteRef/>
      </w:r>
      <w:r>
        <w:t xml:space="preserve"> </w:t>
      </w:r>
      <w:r w:rsidRPr="00CD1E71">
        <w:rPr>
          <w:rStyle w:val="Hyperlink"/>
        </w:rPr>
        <w:t>http://www.pic.int/TheConvention/Overview/tabid/1044/language/en-US/Default.aspx</w:t>
      </w:r>
      <w:r>
        <w:t xml:space="preserve"> </w:t>
      </w:r>
    </w:p>
  </w:footnote>
  <w:footnote w:id="9">
    <w:p w:rsidR="007E03DD" w:rsidRDefault="007E03DD">
      <w:pPr>
        <w:pStyle w:val="FootnoteText"/>
      </w:pPr>
      <w:r>
        <w:rPr>
          <w:rStyle w:val="FootnoteReference"/>
        </w:rPr>
        <w:footnoteRef/>
      </w:r>
      <w:r>
        <w:t xml:space="preserve"> </w:t>
      </w:r>
      <w:r w:rsidRPr="00CD1E71">
        <w:rPr>
          <w:rStyle w:val="Hyperlink"/>
        </w:rPr>
        <w:t>http://www.basel.int/TheConvention/Overview/tabid/1271/Default.aspx</w:t>
      </w:r>
    </w:p>
  </w:footnote>
  <w:footnote w:id="10">
    <w:p w:rsidR="007E03DD" w:rsidRDefault="007E03DD" w:rsidP="007C2795">
      <w:pPr>
        <w:pStyle w:val="FootnoteText"/>
      </w:pPr>
      <w:r>
        <w:rPr>
          <w:rStyle w:val="FootnoteReference"/>
        </w:rPr>
        <w:footnoteRef/>
      </w:r>
      <w:r>
        <w:t xml:space="preserve"> </w:t>
      </w:r>
      <w:hyperlink r:id="rId7" w:history="1">
        <w:r w:rsidRPr="00CD1E71">
          <w:rPr>
            <w:rStyle w:val="Hyperlink"/>
          </w:rPr>
          <w:t>http://www.pic.int/TheConvention/Chemicals/AnnexIIIChemicals/HarmonizedSystemCodes/tabid/1159/language/en-US/Default.aspx</w:t>
        </w:r>
      </w:hyperlink>
    </w:p>
  </w:footnote>
  <w:footnote w:id="11">
    <w:p w:rsidR="007E03DD" w:rsidRDefault="007E03DD" w:rsidP="0092498A">
      <w:pPr>
        <w:pStyle w:val="FootnoteText"/>
        <w:jc w:val="left"/>
      </w:pPr>
      <w:r>
        <w:rPr>
          <w:rStyle w:val="FootnoteReference"/>
        </w:rPr>
        <w:footnoteRef/>
      </w:r>
      <w:r>
        <w:t xml:space="preserve"> </w:t>
      </w:r>
      <w:r>
        <w:rPr>
          <w:rFonts w:eastAsia="Times New Roman" w:cs="Arial"/>
          <w:lang w:eastAsia="de-DE" w:bidi="th-TH"/>
        </w:rPr>
        <w:t>EU Chemicals/Customs Group, Doc 1/96/Rev.2/05.09.996.</w:t>
      </w:r>
    </w:p>
  </w:footnote>
  <w:footnote w:id="12">
    <w:p w:rsidR="007E03DD" w:rsidRDefault="007E03DD" w:rsidP="00925A08">
      <w:pPr>
        <w:pStyle w:val="FootnoteText"/>
        <w:jc w:val="left"/>
      </w:pPr>
      <w:r>
        <w:rPr>
          <w:rStyle w:val="FootnoteReference"/>
        </w:rPr>
        <w:footnoteRef/>
      </w:r>
      <w:r>
        <w:t xml:space="preserve"> Chapter 1.4, GLOBALLY HARMONIZED SYSTEM OF CLASSIFICATION AND LABELLING OF CHEMICALS (GHS), </w:t>
      </w:r>
      <w:r>
        <w:rPr>
          <w:i/>
          <w:iCs/>
        </w:rPr>
        <w:t xml:space="preserve">Fourth revised edition, </w:t>
      </w:r>
      <w:r>
        <w:t>UNITED NATIONS, New York and Geneva, 2011.</w:t>
      </w:r>
    </w:p>
  </w:footnote>
  <w:footnote w:id="13">
    <w:p w:rsidR="007E03DD" w:rsidRDefault="007E03DD" w:rsidP="007C2795">
      <w:pPr>
        <w:pStyle w:val="FootnoteText"/>
      </w:pPr>
      <w:r>
        <w:rPr>
          <w:rStyle w:val="FootnoteReference"/>
        </w:rPr>
        <w:footnoteRef/>
      </w:r>
      <w:r>
        <w:t xml:space="preserve"> </w:t>
      </w:r>
      <w:proofErr w:type="gramStart"/>
      <w:r>
        <w:t>Work in progress WCO, SRC, SSC, SBC.</w:t>
      </w:r>
      <w:proofErr w:type="gramEnd"/>
    </w:p>
  </w:footnote>
  <w:footnote w:id="14">
    <w:p w:rsidR="007E03DD" w:rsidRDefault="007E03DD" w:rsidP="007C2795">
      <w:pPr>
        <w:pStyle w:val="FootnoteText"/>
      </w:pPr>
      <w:r>
        <w:rPr>
          <w:rStyle w:val="FootnoteReference"/>
        </w:rPr>
        <w:footnoteRef/>
      </w:r>
      <w:r>
        <w:t xml:space="preserve"> </w:t>
      </w:r>
      <w:hyperlink r:id="rId8" w:history="1">
        <w:r w:rsidRPr="000C0486">
          <w:rPr>
            <w:rStyle w:val="Hyperlink"/>
          </w:rPr>
          <w:t>http://www.unep.fr/ozonaction/information/mmcfiles/3328-e.pdf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39" w:rsidRDefault="00E20E03">
    <w:pPr>
      <w:pStyle w:val="Header"/>
    </w:pPr>
    <w:r w:rsidRPr="00E20E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87" o:spid="_x0000_s2056" type="#_x0000_t136" style="position:absolute;left:0;text-align:left;margin-left:0;margin-top:0;width:429.45pt;height:257.6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39" w:rsidRDefault="00E20E03">
    <w:pPr>
      <w:pStyle w:val="Header"/>
    </w:pPr>
    <w:r w:rsidRPr="00E20E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88" o:spid="_x0000_s2057" type="#_x0000_t136" style="position:absolute;left:0;text-align:left;margin-left:0;margin-top:0;width:429.45pt;height:257.6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39" w:rsidRDefault="00E20E03">
    <w:pPr>
      <w:pStyle w:val="Header"/>
    </w:pPr>
    <w:r w:rsidRPr="00E20E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86" o:spid="_x0000_s2055" type="#_x0000_t136" style="position:absolute;left:0;text-align:left;margin-left:0;margin-top:0;width:429.45pt;height:257.6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39" w:rsidRDefault="00E20E03">
    <w:pPr>
      <w:pStyle w:val="Header"/>
    </w:pPr>
    <w:r w:rsidRPr="00E20E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90" o:spid="_x0000_s2059" type="#_x0000_t136" style="position:absolute;left:0;text-align:left;margin-left:0;margin-top:0;width:429.45pt;height:257.65pt;rotation:315;z-index:-2516474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39" w:rsidRDefault="00E20E03">
    <w:pPr>
      <w:pStyle w:val="Header"/>
    </w:pPr>
    <w:r w:rsidRPr="00E20E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91" o:spid="_x0000_s2060" type="#_x0000_t136" style="position:absolute;left:0;text-align:left;margin-left:0;margin-top:0;width:429.45pt;height:257.65pt;rotation:315;z-index:-2516454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DD" w:rsidRDefault="00E20E03">
    <w:pPr>
      <w:pStyle w:val="Header"/>
    </w:pPr>
    <w:r w:rsidRPr="00E20E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89" o:spid="_x0000_s2058" type="#_x0000_t136" style="position:absolute;left:0;text-align:left;margin-left:0;margin-top:0;width:429.45pt;height:257.65pt;rotation:315;z-index:-251649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E20E03">
      <w:rPr>
        <w:noProof/>
        <w:lang w:val="fr-FR" w:eastAsia="ja-JP"/>
      </w:rPr>
      <w:pict>
        <v:shapetype id="_x0000_t202" coordsize="21600,21600" o:spt="202" path="m,l,21600r21600,l21600,xe">
          <v:stroke joinstyle="miter"/>
          <v:path gradientshapeok="t" o:connecttype="rect"/>
        </v:shapetype>
        <v:shape id="_x0000_s2049" type="#_x0000_t202" style="position:absolute;left:0;text-align:left;margin-left:-23.75pt;margin-top:46.75pt;width:75.2pt;height:16.9pt;z-index:251658752;mso-position-horizontal-relative:page;mso-position-vertical-relative:page;v-text-anchor:middle" o:allowincell="f" fillcolor="#4f81bd" stroked="f">
          <v:textbox style="mso-next-textbox:#_x0000_s2049;mso-fit-shape-to-text:t" inset=",0,,0">
            <w:txbxContent>
              <w:p w:rsidR="007E03DD" w:rsidRPr="00465AC1" w:rsidRDefault="00E20E03" w:rsidP="00F63353">
                <w:pPr>
                  <w:spacing w:after="0"/>
                  <w:jc w:val="right"/>
                  <w:rPr>
                    <w:rFonts w:ascii="Lucida Sans" w:hAnsi="Lucida Sans"/>
                    <w:color w:val="FFFFFF"/>
                  </w:rPr>
                </w:pPr>
                <w:r w:rsidRPr="00030F08">
                  <w:rPr>
                    <w:rFonts w:ascii="Lucida Sans" w:hAnsi="Lucida Sans"/>
                  </w:rPr>
                  <w:fldChar w:fldCharType="begin"/>
                </w:r>
                <w:r w:rsidR="007E03DD" w:rsidRPr="00030F08">
                  <w:rPr>
                    <w:rFonts w:ascii="Lucida Sans" w:hAnsi="Lucida Sans"/>
                  </w:rPr>
                  <w:instrText xml:space="preserve"> PAGE   \* MERGEFORMAT </w:instrText>
                </w:r>
                <w:r w:rsidRPr="00030F08">
                  <w:rPr>
                    <w:rFonts w:ascii="Lucida Sans" w:hAnsi="Lucida Sans"/>
                  </w:rPr>
                  <w:fldChar w:fldCharType="separate"/>
                </w:r>
                <w:r w:rsidR="00FB2752" w:rsidRPr="00FB2752">
                  <w:rPr>
                    <w:rFonts w:ascii="Lucida Sans" w:hAnsi="Lucida Sans"/>
                    <w:noProof/>
                    <w:color w:val="FFFFFF"/>
                  </w:rPr>
                  <w:t>1</w:t>
                </w:r>
                <w:r w:rsidRPr="00030F08">
                  <w:rPr>
                    <w:rFonts w:ascii="Lucida Sans" w:hAnsi="Lucida Sans"/>
                  </w:rPr>
                  <w:fldChar w:fldCharType="end"/>
                </w:r>
              </w:p>
            </w:txbxContent>
          </v:textbox>
          <w10:wrap anchorx="page"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DD" w:rsidRDefault="00E20E03">
    <w:pPr>
      <w:pStyle w:val="Header"/>
    </w:pPr>
    <w:r w:rsidRPr="00E20E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93" o:spid="_x0000_s2062" type="#_x0000_t136" style="position:absolute;left:0;text-align:left;margin-left:0;margin-top:0;width:429.45pt;height:257.65pt;rotation:315;z-index:-2516413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E20E03">
      <w:rPr>
        <w:noProof/>
        <w:lang w:val="fr-FR" w:eastAsia="ja-JP"/>
      </w:rPr>
      <w:pict>
        <v:shapetype id="_x0000_t202" coordsize="21600,21600" o:spt="202" path="m,l,21600r21600,l21600,xe">
          <v:stroke joinstyle="miter"/>
          <v:path gradientshapeok="t" o:connecttype="rect"/>
        </v:shapetype>
        <v:shape id="_x0000_s2050" type="#_x0000_t202" style="position:absolute;left:0;text-align:left;margin-left:-35.75pt;margin-top:34.75pt;width:75.2pt;height:16.9pt;z-index:251657728;mso-position-horizontal-relative:page;mso-position-vertical-relative:page;v-text-anchor:middle" o:allowincell="f" fillcolor="#4f81bd" stroked="f">
          <v:textbox style="mso-next-textbox:#_x0000_s2050;mso-fit-shape-to-text:t" inset=",0,,0">
            <w:txbxContent>
              <w:p w:rsidR="007E03DD" w:rsidRPr="00465AC1" w:rsidRDefault="00E20E03" w:rsidP="003A7077">
                <w:pPr>
                  <w:spacing w:after="0"/>
                  <w:jc w:val="right"/>
                  <w:rPr>
                    <w:rFonts w:ascii="Lucida Sans" w:hAnsi="Lucida Sans"/>
                    <w:color w:val="FFFFFF"/>
                  </w:rPr>
                </w:pPr>
                <w:r w:rsidRPr="00030F08">
                  <w:rPr>
                    <w:rFonts w:ascii="Lucida Sans" w:hAnsi="Lucida Sans"/>
                  </w:rPr>
                  <w:fldChar w:fldCharType="begin"/>
                </w:r>
                <w:r w:rsidR="007E03DD" w:rsidRPr="00030F08">
                  <w:rPr>
                    <w:rFonts w:ascii="Lucida Sans" w:hAnsi="Lucida Sans"/>
                  </w:rPr>
                  <w:instrText xml:space="preserve"> PAGE   \* MERGEFORMAT </w:instrText>
                </w:r>
                <w:r w:rsidRPr="00030F08">
                  <w:rPr>
                    <w:rFonts w:ascii="Lucida Sans" w:hAnsi="Lucida Sans"/>
                  </w:rPr>
                  <w:fldChar w:fldCharType="separate"/>
                </w:r>
                <w:r w:rsidR="00FB2752" w:rsidRPr="00FB2752">
                  <w:rPr>
                    <w:rFonts w:ascii="Lucida Sans" w:hAnsi="Lucida Sans"/>
                    <w:noProof/>
                    <w:color w:val="FFFFFF"/>
                  </w:rPr>
                  <w:t>14</w:t>
                </w:r>
                <w:r w:rsidRPr="00030F08">
                  <w:rPr>
                    <w:rFonts w:ascii="Lucida Sans" w:hAnsi="Lucida Sans"/>
                  </w:rPr>
                  <w:fldChar w:fldCharType="end"/>
                </w:r>
              </w:p>
            </w:txbxContent>
          </v:textbox>
          <w10:wrap anchorx="page"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DD" w:rsidRDefault="00E20E03">
    <w:pPr>
      <w:pStyle w:val="Header"/>
    </w:pPr>
    <w:r w:rsidRPr="00E20E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94" o:spid="_x0000_s2063" type="#_x0000_t136" style="position:absolute;left:0;text-align:left;margin-left:0;margin-top:0;width:429.45pt;height:257.65pt;rotation:315;z-index:-2516392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E20E03">
      <w:rPr>
        <w:noProof/>
        <w:lang w:val="fr-FR" w:eastAsia="ja-JP"/>
      </w:rPr>
      <w:pict>
        <v:shapetype id="_x0000_t202" coordsize="21600,21600" o:spt="202" path="m,l,21600r21600,l21600,xe">
          <v:stroke joinstyle="miter"/>
          <v:path gradientshapeok="t" o:connecttype="rect"/>
        </v:shapetype>
        <v:shape id="_x0000_s2051" type="#_x0000_t202" style="position:absolute;left:0;text-align:left;margin-left:554.05pt;margin-top:33.7pt;width:75.2pt;height:16.9pt;z-index:251656704;mso-position-horizontal-relative:page;mso-position-vertical-relative:page;v-text-anchor:middle" o:allowincell="f" fillcolor="#4f81bd" stroked="f">
          <v:textbox style="mso-next-textbox:#_x0000_s2051;mso-fit-shape-to-text:t" inset=",0,,0">
            <w:txbxContent>
              <w:p w:rsidR="007E03DD" w:rsidRPr="00465AC1" w:rsidRDefault="00E20E03" w:rsidP="003A7077">
                <w:pPr>
                  <w:spacing w:after="0"/>
                  <w:rPr>
                    <w:rFonts w:ascii="Lucida Sans" w:hAnsi="Lucida Sans"/>
                    <w:color w:val="FFFFFF"/>
                  </w:rPr>
                </w:pPr>
                <w:r w:rsidRPr="00030F08">
                  <w:rPr>
                    <w:rFonts w:ascii="Lucida Sans" w:hAnsi="Lucida Sans"/>
                  </w:rPr>
                  <w:fldChar w:fldCharType="begin"/>
                </w:r>
                <w:r w:rsidR="007E03DD" w:rsidRPr="00030F08">
                  <w:rPr>
                    <w:rFonts w:ascii="Lucida Sans" w:hAnsi="Lucida Sans"/>
                  </w:rPr>
                  <w:instrText xml:space="preserve"> PAGE   \* MERGEFORMAT </w:instrText>
                </w:r>
                <w:r w:rsidRPr="00030F08">
                  <w:rPr>
                    <w:rFonts w:ascii="Lucida Sans" w:hAnsi="Lucida Sans"/>
                  </w:rPr>
                  <w:fldChar w:fldCharType="separate"/>
                </w:r>
                <w:r w:rsidR="00FB2752" w:rsidRPr="00FB2752">
                  <w:rPr>
                    <w:rFonts w:ascii="Lucida Sans" w:hAnsi="Lucida Sans"/>
                    <w:noProof/>
                    <w:color w:val="FFFFFF"/>
                  </w:rPr>
                  <w:t>15</w:t>
                </w:r>
                <w:r w:rsidRPr="00030F08">
                  <w:rPr>
                    <w:rFonts w:ascii="Lucida Sans" w:hAnsi="Lucida Sans"/>
                  </w:rPr>
                  <w:fldChar w:fldCharType="end"/>
                </w:r>
              </w:p>
            </w:txbxContent>
          </v:textbox>
          <w10:wrap anchorx="page"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39" w:rsidRDefault="00E20E03">
    <w:pPr>
      <w:pStyle w:val="Header"/>
    </w:pPr>
    <w:r w:rsidRPr="00E20E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92" o:spid="_x0000_s2061" type="#_x0000_t136" style="position:absolute;left:0;text-align:left;margin-left:0;margin-top:0;width:429.45pt;height:257.65pt;rotation:315;z-index:-2516433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7DE"/>
    <w:multiLevelType w:val="hybridMultilevel"/>
    <w:tmpl w:val="6D7A5E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9785E7E"/>
    <w:multiLevelType w:val="multilevel"/>
    <w:tmpl w:val="BEEE3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116B3"/>
    <w:multiLevelType w:val="hybridMultilevel"/>
    <w:tmpl w:val="C9A07CBE"/>
    <w:lvl w:ilvl="0" w:tplc="D3B67E9E">
      <w:start w:val="1"/>
      <w:numFmt w:val="bullet"/>
      <w:pStyle w:val="BulletLevel1"/>
      <w:lvlText w:val=""/>
      <w:lvlJc w:val="left"/>
      <w:pPr>
        <w:ind w:left="644" w:hanging="360"/>
      </w:pPr>
      <w:rPr>
        <w:rFonts w:ascii="Symbol" w:hAnsi="Symbol" w:hint="default"/>
      </w:rPr>
    </w:lvl>
    <w:lvl w:ilvl="1" w:tplc="10090001">
      <w:start w:val="1"/>
      <w:numFmt w:val="bullet"/>
      <w:lvlText w:val=""/>
      <w:lvlJc w:val="left"/>
      <w:pPr>
        <w:ind w:left="1364" w:hanging="360"/>
      </w:pPr>
      <w:rPr>
        <w:rFonts w:ascii="Symbol" w:hAnsi="Symbol"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3">
    <w:nsid w:val="1DE51CA3"/>
    <w:multiLevelType w:val="multilevel"/>
    <w:tmpl w:val="3ACE4382"/>
    <w:lvl w:ilvl="0">
      <w:start w:val="1"/>
      <w:numFmt w:val="decimal"/>
      <w:pStyle w:val="Heading1"/>
      <w:lvlText w:val="%1"/>
      <w:lvlJc w:val="left"/>
      <w:pPr>
        <w:ind w:left="432" w:hanging="432"/>
      </w:pPr>
      <w:rPr>
        <w:rFonts w:cs="Times New Roman" w:hint="default"/>
        <w:b/>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nsid w:val="301E18A3"/>
    <w:multiLevelType w:val="hybridMultilevel"/>
    <w:tmpl w:val="C3ECD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37F02F13"/>
    <w:multiLevelType w:val="multilevel"/>
    <w:tmpl w:val="056C5CDC"/>
    <w:lvl w:ilvl="0">
      <w:start w:val="1"/>
      <w:numFmt w:val="decimal"/>
      <w:pStyle w:val="Paralevel1"/>
      <w:lvlText w:val="%1."/>
      <w:lvlJc w:val="left"/>
      <w:pPr>
        <w:tabs>
          <w:tab w:val="num" w:pos="0"/>
        </w:tabs>
      </w:pPr>
      <w:rPr>
        <w:rFonts w:cs="Times New Roman" w:hint="eastAsia"/>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0"/>
        </w:tabs>
      </w:pPr>
      <w:rPr>
        <w:rFonts w:cs="Times New Roman" w:hint="eastAsia"/>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53302629"/>
    <w:multiLevelType w:val="hybridMultilevel"/>
    <w:tmpl w:val="5B02E4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62674531"/>
    <w:multiLevelType w:val="hybridMultilevel"/>
    <w:tmpl w:val="4CC462E6"/>
    <w:lvl w:ilvl="0" w:tplc="10090001">
      <w:start w:val="1"/>
      <w:numFmt w:val="bullet"/>
      <w:lvlText w:val=""/>
      <w:lvlJc w:val="left"/>
      <w:pPr>
        <w:ind w:left="945" w:hanging="720"/>
      </w:pPr>
      <w:rPr>
        <w:rFonts w:ascii="Symbol" w:hAnsi="Symbol" w:hint="default"/>
        <w:i w:val="0"/>
      </w:rPr>
    </w:lvl>
    <w:lvl w:ilvl="1" w:tplc="04090019">
      <w:start w:val="1"/>
      <w:numFmt w:val="lowerLetter"/>
      <w:lvlText w:val="%2."/>
      <w:lvlJc w:val="left"/>
      <w:pPr>
        <w:ind w:left="1305" w:hanging="360"/>
      </w:pPr>
      <w:rPr>
        <w:rFonts w:cs="Times New Roman"/>
      </w:rPr>
    </w:lvl>
    <w:lvl w:ilvl="2" w:tplc="0409001B">
      <w:start w:val="1"/>
      <w:numFmt w:val="lowerRoman"/>
      <w:lvlText w:val="%3."/>
      <w:lvlJc w:val="right"/>
      <w:pPr>
        <w:ind w:left="2025" w:hanging="180"/>
      </w:pPr>
      <w:rPr>
        <w:rFonts w:cs="Times New Roman"/>
      </w:rPr>
    </w:lvl>
    <w:lvl w:ilvl="3" w:tplc="0409000F">
      <w:start w:val="1"/>
      <w:numFmt w:val="decimal"/>
      <w:lvlText w:val="%4."/>
      <w:lvlJc w:val="left"/>
      <w:pPr>
        <w:ind w:left="2745" w:hanging="360"/>
      </w:pPr>
      <w:rPr>
        <w:rFonts w:cs="Times New Roman"/>
      </w:rPr>
    </w:lvl>
    <w:lvl w:ilvl="4" w:tplc="04090019">
      <w:start w:val="1"/>
      <w:numFmt w:val="lowerLetter"/>
      <w:lvlText w:val="%5."/>
      <w:lvlJc w:val="left"/>
      <w:pPr>
        <w:ind w:left="3465" w:hanging="360"/>
      </w:pPr>
      <w:rPr>
        <w:rFonts w:cs="Times New Roman"/>
      </w:rPr>
    </w:lvl>
    <w:lvl w:ilvl="5" w:tplc="0409001B">
      <w:start w:val="1"/>
      <w:numFmt w:val="lowerRoman"/>
      <w:lvlText w:val="%6."/>
      <w:lvlJc w:val="right"/>
      <w:pPr>
        <w:ind w:left="4185" w:hanging="180"/>
      </w:pPr>
      <w:rPr>
        <w:rFonts w:cs="Times New Roman"/>
      </w:rPr>
    </w:lvl>
    <w:lvl w:ilvl="6" w:tplc="0409000F">
      <w:start w:val="1"/>
      <w:numFmt w:val="decimal"/>
      <w:lvlText w:val="%7."/>
      <w:lvlJc w:val="left"/>
      <w:pPr>
        <w:ind w:left="4905" w:hanging="360"/>
      </w:pPr>
      <w:rPr>
        <w:rFonts w:cs="Times New Roman"/>
      </w:rPr>
    </w:lvl>
    <w:lvl w:ilvl="7" w:tplc="04090019">
      <w:start w:val="1"/>
      <w:numFmt w:val="lowerLetter"/>
      <w:lvlText w:val="%8."/>
      <w:lvlJc w:val="left"/>
      <w:pPr>
        <w:ind w:left="5625" w:hanging="360"/>
      </w:pPr>
      <w:rPr>
        <w:rFonts w:cs="Times New Roman"/>
      </w:rPr>
    </w:lvl>
    <w:lvl w:ilvl="8" w:tplc="0409001B">
      <w:start w:val="1"/>
      <w:numFmt w:val="lowerRoman"/>
      <w:lvlText w:val="%9."/>
      <w:lvlJc w:val="right"/>
      <w:pPr>
        <w:ind w:left="6345" w:hanging="180"/>
      </w:pPr>
      <w:rPr>
        <w:rFonts w:cs="Times New Roman"/>
      </w:rPr>
    </w:lvl>
  </w:abstractNum>
  <w:abstractNum w:abstractNumId="8">
    <w:nsid w:val="70803E08"/>
    <w:multiLevelType w:val="hybridMultilevel"/>
    <w:tmpl w:val="D22674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6"/>
  </w:num>
  <w:num w:numId="8">
    <w:abstractNumId w:val="4"/>
  </w:num>
  <w:num w:numId="9">
    <w:abstractNumId w:val="2"/>
  </w:num>
  <w:num w:numId="10">
    <w:abstractNumId w:val="0"/>
  </w:num>
  <w:num w:numId="11">
    <w:abstractNumId w:val="3"/>
    <w:lvlOverride w:ilvl="0">
      <w:startOverride w:val="1"/>
    </w:lvlOverride>
  </w:num>
  <w:num w:numId="12">
    <w:abstractNumId w:val="1"/>
  </w:num>
  <w:num w:numId="13">
    <w:abstractNumId w:val="1"/>
    <w:lvlOverride w:ilvl="0">
      <w:lvl w:ilvl="0">
        <w:numFmt w:val="decimal"/>
        <w:lvlText w:val=""/>
        <w:lvlJc w:val="left"/>
      </w:lvl>
    </w:lvlOverride>
    <w:lvlOverride w:ilvl="1">
      <w:lvl w:ilvl="1">
        <w:numFmt w:val="lowerLetter"/>
        <w:lvlText w:val="%2."/>
        <w:lvlJc w:val="left"/>
      </w:lvl>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rsids>
    <w:rsidRoot w:val="00DF4C45"/>
    <w:rsid w:val="0000205E"/>
    <w:rsid w:val="00002064"/>
    <w:rsid w:val="00002A67"/>
    <w:rsid w:val="000038D6"/>
    <w:rsid w:val="00004365"/>
    <w:rsid w:val="0000439D"/>
    <w:rsid w:val="00004AA0"/>
    <w:rsid w:val="000058C3"/>
    <w:rsid w:val="00005AE0"/>
    <w:rsid w:val="00007494"/>
    <w:rsid w:val="000103C5"/>
    <w:rsid w:val="00010428"/>
    <w:rsid w:val="000109FE"/>
    <w:rsid w:val="00011F4F"/>
    <w:rsid w:val="0001672F"/>
    <w:rsid w:val="00017157"/>
    <w:rsid w:val="00017BA3"/>
    <w:rsid w:val="00020323"/>
    <w:rsid w:val="00021390"/>
    <w:rsid w:val="00021C19"/>
    <w:rsid w:val="000220BE"/>
    <w:rsid w:val="000222EF"/>
    <w:rsid w:val="00022FC4"/>
    <w:rsid w:val="00023715"/>
    <w:rsid w:val="00024303"/>
    <w:rsid w:val="00024CAC"/>
    <w:rsid w:val="00030339"/>
    <w:rsid w:val="000309B6"/>
    <w:rsid w:val="00030EF9"/>
    <w:rsid w:val="00030F08"/>
    <w:rsid w:val="0003118E"/>
    <w:rsid w:val="00031364"/>
    <w:rsid w:val="000317B0"/>
    <w:rsid w:val="00031A8E"/>
    <w:rsid w:val="000322F9"/>
    <w:rsid w:val="0003231A"/>
    <w:rsid w:val="00032A81"/>
    <w:rsid w:val="00033143"/>
    <w:rsid w:val="00033F0F"/>
    <w:rsid w:val="00034F84"/>
    <w:rsid w:val="000353CD"/>
    <w:rsid w:val="00035BB9"/>
    <w:rsid w:val="00035E6D"/>
    <w:rsid w:val="0003618B"/>
    <w:rsid w:val="000411B0"/>
    <w:rsid w:val="00041C2D"/>
    <w:rsid w:val="00042763"/>
    <w:rsid w:val="00043A0C"/>
    <w:rsid w:val="00043EE6"/>
    <w:rsid w:val="0004506F"/>
    <w:rsid w:val="00046280"/>
    <w:rsid w:val="00046C5D"/>
    <w:rsid w:val="00046C9D"/>
    <w:rsid w:val="00046EA1"/>
    <w:rsid w:val="0004785B"/>
    <w:rsid w:val="000504E5"/>
    <w:rsid w:val="00050E92"/>
    <w:rsid w:val="00050F8F"/>
    <w:rsid w:val="000519AB"/>
    <w:rsid w:val="00053700"/>
    <w:rsid w:val="000540B6"/>
    <w:rsid w:val="0005496F"/>
    <w:rsid w:val="00055920"/>
    <w:rsid w:val="00056274"/>
    <w:rsid w:val="0005703E"/>
    <w:rsid w:val="00057289"/>
    <w:rsid w:val="00057DDB"/>
    <w:rsid w:val="00060CCF"/>
    <w:rsid w:val="00060FD2"/>
    <w:rsid w:val="0006478B"/>
    <w:rsid w:val="0006604E"/>
    <w:rsid w:val="000662DB"/>
    <w:rsid w:val="0006745F"/>
    <w:rsid w:val="00067A3C"/>
    <w:rsid w:val="00070024"/>
    <w:rsid w:val="0007017A"/>
    <w:rsid w:val="000708CE"/>
    <w:rsid w:val="0007197A"/>
    <w:rsid w:val="00072040"/>
    <w:rsid w:val="00072F9D"/>
    <w:rsid w:val="0007345B"/>
    <w:rsid w:val="000746A5"/>
    <w:rsid w:val="000748B6"/>
    <w:rsid w:val="00075C0C"/>
    <w:rsid w:val="000802D2"/>
    <w:rsid w:val="00083056"/>
    <w:rsid w:val="0008559F"/>
    <w:rsid w:val="000859C6"/>
    <w:rsid w:val="00085CDF"/>
    <w:rsid w:val="00086B12"/>
    <w:rsid w:val="00087142"/>
    <w:rsid w:val="000871A6"/>
    <w:rsid w:val="0009315F"/>
    <w:rsid w:val="00093911"/>
    <w:rsid w:val="00094B5C"/>
    <w:rsid w:val="00095A85"/>
    <w:rsid w:val="0009676C"/>
    <w:rsid w:val="000971F2"/>
    <w:rsid w:val="000A04C2"/>
    <w:rsid w:val="000A0D66"/>
    <w:rsid w:val="000A25F1"/>
    <w:rsid w:val="000A2E86"/>
    <w:rsid w:val="000A3C36"/>
    <w:rsid w:val="000A5AA0"/>
    <w:rsid w:val="000A5B46"/>
    <w:rsid w:val="000A66BD"/>
    <w:rsid w:val="000A7792"/>
    <w:rsid w:val="000B0350"/>
    <w:rsid w:val="000B0410"/>
    <w:rsid w:val="000B059D"/>
    <w:rsid w:val="000B0C54"/>
    <w:rsid w:val="000B329C"/>
    <w:rsid w:val="000B3796"/>
    <w:rsid w:val="000B4CAA"/>
    <w:rsid w:val="000B5368"/>
    <w:rsid w:val="000C0486"/>
    <w:rsid w:val="000C08ED"/>
    <w:rsid w:val="000C0F95"/>
    <w:rsid w:val="000C149A"/>
    <w:rsid w:val="000C16A1"/>
    <w:rsid w:val="000C1842"/>
    <w:rsid w:val="000C3C01"/>
    <w:rsid w:val="000C3C62"/>
    <w:rsid w:val="000C453B"/>
    <w:rsid w:val="000C46B1"/>
    <w:rsid w:val="000C46DC"/>
    <w:rsid w:val="000C482F"/>
    <w:rsid w:val="000C619A"/>
    <w:rsid w:val="000C7188"/>
    <w:rsid w:val="000C7727"/>
    <w:rsid w:val="000D110E"/>
    <w:rsid w:val="000D34D4"/>
    <w:rsid w:val="000D3BBD"/>
    <w:rsid w:val="000D3E16"/>
    <w:rsid w:val="000D5858"/>
    <w:rsid w:val="000D5BD9"/>
    <w:rsid w:val="000D5C68"/>
    <w:rsid w:val="000D62F4"/>
    <w:rsid w:val="000E0616"/>
    <w:rsid w:val="000E12EB"/>
    <w:rsid w:val="000E428F"/>
    <w:rsid w:val="000E470E"/>
    <w:rsid w:val="000E59E1"/>
    <w:rsid w:val="000E5F9A"/>
    <w:rsid w:val="000E62BC"/>
    <w:rsid w:val="000E6E66"/>
    <w:rsid w:val="000E740C"/>
    <w:rsid w:val="000F06B5"/>
    <w:rsid w:val="000F2219"/>
    <w:rsid w:val="000F3497"/>
    <w:rsid w:val="000F3523"/>
    <w:rsid w:val="000F42CC"/>
    <w:rsid w:val="000F579D"/>
    <w:rsid w:val="000F604A"/>
    <w:rsid w:val="000F60E5"/>
    <w:rsid w:val="000F6A3D"/>
    <w:rsid w:val="001003C8"/>
    <w:rsid w:val="001007DE"/>
    <w:rsid w:val="001009B6"/>
    <w:rsid w:val="00100D2F"/>
    <w:rsid w:val="00100E37"/>
    <w:rsid w:val="00100F4E"/>
    <w:rsid w:val="001019F5"/>
    <w:rsid w:val="00104B7E"/>
    <w:rsid w:val="00105895"/>
    <w:rsid w:val="00106E83"/>
    <w:rsid w:val="001074BF"/>
    <w:rsid w:val="001075EF"/>
    <w:rsid w:val="00107CB0"/>
    <w:rsid w:val="00107D96"/>
    <w:rsid w:val="00110EE2"/>
    <w:rsid w:val="00111E60"/>
    <w:rsid w:val="00112731"/>
    <w:rsid w:val="001145EC"/>
    <w:rsid w:val="0011587C"/>
    <w:rsid w:val="00115F0D"/>
    <w:rsid w:val="001172BA"/>
    <w:rsid w:val="0011789B"/>
    <w:rsid w:val="00120F04"/>
    <w:rsid w:val="00121136"/>
    <w:rsid w:val="00122EB3"/>
    <w:rsid w:val="00124ADE"/>
    <w:rsid w:val="00124C4C"/>
    <w:rsid w:val="00125F82"/>
    <w:rsid w:val="00126C8B"/>
    <w:rsid w:val="00127213"/>
    <w:rsid w:val="0012736A"/>
    <w:rsid w:val="00127432"/>
    <w:rsid w:val="0013112E"/>
    <w:rsid w:val="0013185B"/>
    <w:rsid w:val="00131962"/>
    <w:rsid w:val="001328EE"/>
    <w:rsid w:val="0013290E"/>
    <w:rsid w:val="0013387A"/>
    <w:rsid w:val="00134128"/>
    <w:rsid w:val="00135893"/>
    <w:rsid w:val="00135ADA"/>
    <w:rsid w:val="00136B74"/>
    <w:rsid w:val="001370CD"/>
    <w:rsid w:val="001371F4"/>
    <w:rsid w:val="00137E9B"/>
    <w:rsid w:val="0014041E"/>
    <w:rsid w:val="00140DA7"/>
    <w:rsid w:val="001427B8"/>
    <w:rsid w:val="001429B0"/>
    <w:rsid w:val="00142AAD"/>
    <w:rsid w:val="00142E99"/>
    <w:rsid w:val="001453BC"/>
    <w:rsid w:val="00146697"/>
    <w:rsid w:val="001506F6"/>
    <w:rsid w:val="00150D57"/>
    <w:rsid w:val="00150E46"/>
    <w:rsid w:val="0015102A"/>
    <w:rsid w:val="00151122"/>
    <w:rsid w:val="00151F43"/>
    <w:rsid w:val="001549E0"/>
    <w:rsid w:val="001553B3"/>
    <w:rsid w:val="001564A3"/>
    <w:rsid w:val="00157779"/>
    <w:rsid w:val="00160E3D"/>
    <w:rsid w:val="0016114F"/>
    <w:rsid w:val="001627DC"/>
    <w:rsid w:val="00163C9D"/>
    <w:rsid w:val="00165820"/>
    <w:rsid w:val="00166CDF"/>
    <w:rsid w:val="00171291"/>
    <w:rsid w:val="00171928"/>
    <w:rsid w:val="00172AE6"/>
    <w:rsid w:val="00173022"/>
    <w:rsid w:val="00173939"/>
    <w:rsid w:val="00173F20"/>
    <w:rsid w:val="001751B6"/>
    <w:rsid w:val="00180619"/>
    <w:rsid w:val="00180D99"/>
    <w:rsid w:val="001815A6"/>
    <w:rsid w:val="00181651"/>
    <w:rsid w:val="00181C32"/>
    <w:rsid w:val="00181D1F"/>
    <w:rsid w:val="001821BB"/>
    <w:rsid w:val="0018276D"/>
    <w:rsid w:val="00182DCB"/>
    <w:rsid w:val="001831CB"/>
    <w:rsid w:val="00183761"/>
    <w:rsid w:val="00186A79"/>
    <w:rsid w:val="0019266A"/>
    <w:rsid w:val="00193C44"/>
    <w:rsid w:val="001947ED"/>
    <w:rsid w:val="001949FA"/>
    <w:rsid w:val="00194C0F"/>
    <w:rsid w:val="00195924"/>
    <w:rsid w:val="001A01E1"/>
    <w:rsid w:val="001A170D"/>
    <w:rsid w:val="001A2078"/>
    <w:rsid w:val="001A2E59"/>
    <w:rsid w:val="001A3EF2"/>
    <w:rsid w:val="001A49E9"/>
    <w:rsid w:val="001A58D9"/>
    <w:rsid w:val="001A6FD6"/>
    <w:rsid w:val="001A7E77"/>
    <w:rsid w:val="001B25FF"/>
    <w:rsid w:val="001B2A41"/>
    <w:rsid w:val="001B2EE2"/>
    <w:rsid w:val="001B4DC2"/>
    <w:rsid w:val="001B6B26"/>
    <w:rsid w:val="001C154D"/>
    <w:rsid w:val="001C1574"/>
    <w:rsid w:val="001C2962"/>
    <w:rsid w:val="001C356D"/>
    <w:rsid w:val="001C4114"/>
    <w:rsid w:val="001C52B6"/>
    <w:rsid w:val="001C7308"/>
    <w:rsid w:val="001C76D9"/>
    <w:rsid w:val="001D0357"/>
    <w:rsid w:val="001D1173"/>
    <w:rsid w:val="001D4240"/>
    <w:rsid w:val="001D5CF2"/>
    <w:rsid w:val="001D6A4B"/>
    <w:rsid w:val="001D6F5D"/>
    <w:rsid w:val="001E05C2"/>
    <w:rsid w:val="001E0F07"/>
    <w:rsid w:val="001E101A"/>
    <w:rsid w:val="001E2413"/>
    <w:rsid w:val="001E3F51"/>
    <w:rsid w:val="001E4597"/>
    <w:rsid w:val="001F1D41"/>
    <w:rsid w:val="001F2B3F"/>
    <w:rsid w:val="001F2F80"/>
    <w:rsid w:val="001F33C6"/>
    <w:rsid w:val="001F38E8"/>
    <w:rsid w:val="001F4918"/>
    <w:rsid w:val="001F566C"/>
    <w:rsid w:val="001F5C3C"/>
    <w:rsid w:val="001F64EF"/>
    <w:rsid w:val="0020051F"/>
    <w:rsid w:val="00202079"/>
    <w:rsid w:val="00203C06"/>
    <w:rsid w:val="00204618"/>
    <w:rsid w:val="00204805"/>
    <w:rsid w:val="00206413"/>
    <w:rsid w:val="00206446"/>
    <w:rsid w:val="00206C51"/>
    <w:rsid w:val="00207026"/>
    <w:rsid w:val="002071B1"/>
    <w:rsid w:val="002116A2"/>
    <w:rsid w:val="00212166"/>
    <w:rsid w:val="0021310E"/>
    <w:rsid w:val="00213BAE"/>
    <w:rsid w:val="0021525B"/>
    <w:rsid w:val="00215FBB"/>
    <w:rsid w:val="00216ACC"/>
    <w:rsid w:val="00217025"/>
    <w:rsid w:val="00217D56"/>
    <w:rsid w:val="002204D1"/>
    <w:rsid w:val="0022058B"/>
    <w:rsid w:val="00220A2D"/>
    <w:rsid w:val="00220DD7"/>
    <w:rsid w:val="00221825"/>
    <w:rsid w:val="002223CB"/>
    <w:rsid w:val="002256FF"/>
    <w:rsid w:val="0022668B"/>
    <w:rsid w:val="00226957"/>
    <w:rsid w:val="00227599"/>
    <w:rsid w:val="0023014D"/>
    <w:rsid w:val="002313AF"/>
    <w:rsid w:val="00231B52"/>
    <w:rsid w:val="00231C8A"/>
    <w:rsid w:val="00232D52"/>
    <w:rsid w:val="00233DBD"/>
    <w:rsid w:val="00233EF7"/>
    <w:rsid w:val="002342E4"/>
    <w:rsid w:val="002343EA"/>
    <w:rsid w:val="0023532D"/>
    <w:rsid w:val="0023613F"/>
    <w:rsid w:val="00236B4E"/>
    <w:rsid w:val="00236DD6"/>
    <w:rsid w:val="00237078"/>
    <w:rsid w:val="002373FF"/>
    <w:rsid w:val="00240377"/>
    <w:rsid w:val="0024145E"/>
    <w:rsid w:val="002415A9"/>
    <w:rsid w:val="00242CE4"/>
    <w:rsid w:val="00242F0D"/>
    <w:rsid w:val="00243083"/>
    <w:rsid w:val="00243A1E"/>
    <w:rsid w:val="00244D51"/>
    <w:rsid w:val="00245EFE"/>
    <w:rsid w:val="00246174"/>
    <w:rsid w:val="00251C83"/>
    <w:rsid w:val="00252A26"/>
    <w:rsid w:val="00252DC9"/>
    <w:rsid w:val="00252FA8"/>
    <w:rsid w:val="00252FBA"/>
    <w:rsid w:val="00253A42"/>
    <w:rsid w:val="00253A9E"/>
    <w:rsid w:val="0025413B"/>
    <w:rsid w:val="00254DEA"/>
    <w:rsid w:val="00255503"/>
    <w:rsid w:val="002572A9"/>
    <w:rsid w:val="0025762A"/>
    <w:rsid w:val="00257BA2"/>
    <w:rsid w:val="00260C2D"/>
    <w:rsid w:val="00264574"/>
    <w:rsid w:val="0026485F"/>
    <w:rsid w:val="002651E8"/>
    <w:rsid w:val="002658FE"/>
    <w:rsid w:val="0026662A"/>
    <w:rsid w:val="00267142"/>
    <w:rsid w:val="00271D42"/>
    <w:rsid w:val="002727A2"/>
    <w:rsid w:val="00275722"/>
    <w:rsid w:val="0027573E"/>
    <w:rsid w:val="002776FA"/>
    <w:rsid w:val="002779AD"/>
    <w:rsid w:val="0028046F"/>
    <w:rsid w:val="00281191"/>
    <w:rsid w:val="00282397"/>
    <w:rsid w:val="002832F1"/>
    <w:rsid w:val="00283B33"/>
    <w:rsid w:val="00283B52"/>
    <w:rsid w:val="00284AF2"/>
    <w:rsid w:val="00285B09"/>
    <w:rsid w:val="00285E1F"/>
    <w:rsid w:val="00286B54"/>
    <w:rsid w:val="0029187C"/>
    <w:rsid w:val="00291BB8"/>
    <w:rsid w:val="002924A5"/>
    <w:rsid w:val="00293577"/>
    <w:rsid w:val="00295ACF"/>
    <w:rsid w:val="00296AFA"/>
    <w:rsid w:val="0029722B"/>
    <w:rsid w:val="002973A7"/>
    <w:rsid w:val="002A0ED4"/>
    <w:rsid w:val="002A14CC"/>
    <w:rsid w:val="002A395E"/>
    <w:rsid w:val="002A456B"/>
    <w:rsid w:val="002A4598"/>
    <w:rsid w:val="002A5F72"/>
    <w:rsid w:val="002A61A2"/>
    <w:rsid w:val="002A6318"/>
    <w:rsid w:val="002A73A9"/>
    <w:rsid w:val="002A7F9B"/>
    <w:rsid w:val="002B40DB"/>
    <w:rsid w:val="002B42DA"/>
    <w:rsid w:val="002B4ADB"/>
    <w:rsid w:val="002B6969"/>
    <w:rsid w:val="002B7E85"/>
    <w:rsid w:val="002C0893"/>
    <w:rsid w:val="002C099B"/>
    <w:rsid w:val="002C0CFD"/>
    <w:rsid w:val="002C211C"/>
    <w:rsid w:val="002C2C4C"/>
    <w:rsid w:val="002C3458"/>
    <w:rsid w:val="002C36AB"/>
    <w:rsid w:val="002C5F2C"/>
    <w:rsid w:val="002C6A5A"/>
    <w:rsid w:val="002D111B"/>
    <w:rsid w:val="002D270F"/>
    <w:rsid w:val="002D39BE"/>
    <w:rsid w:val="002D3A57"/>
    <w:rsid w:val="002D4C93"/>
    <w:rsid w:val="002D5C74"/>
    <w:rsid w:val="002D6EC9"/>
    <w:rsid w:val="002D7C1E"/>
    <w:rsid w:val="002D7DC3"/>
    <w:rsid w:val="002E0045"/>
    <w:rsid w:val="002E0815"/>
    <w:rsid w:val="002E21D1"/>
    <w:rsid w:val="002E2304"/>
    <w:rsid w:val="002E26DF"/>
    <w:rsid w:val="002E50F9"/>
    <w:rsid w:val="002E57D5"/>
    <w:rsid w:val="002E5CB0"/>
    <w:rsid w:val="002E66E5"/>
    <w:rsid w:val="002E74B5"/>
    <w:rsid w:val="002E769D"/>
    <w:rsid w:val="002F1B23"/>
    <w:rsid w:val="002F2F78"/>
    <w:rsid w:val="002F46D8"/>
    <w:rsid w:val="002F5F4A"/>
    <w:rsid w:val="002F658E"/>
    <w:rsid w:val="002F6C32"/>
    <w:rsid w:val="00300239"/>
    <w:rsid w:val="003005D3"/>
    <w:rsid w:val="00303E20"/>
    <w:rsid w:val="003042A7"/>
    <w:rsid w:val="00304F97"/>
    <w:rsid w:val="00307C38"/>
    <w:rsid w:val="00310252"/>
    <w:rsid w:val="00311133"/>
    <w:rsid w:val="00311D31"/>
    <w:rsid w:val="00312808"/>
    <w:rsid w:val="00312A05"/>
    <w:rsid w:val="00312CE5"/>
    <w:rsid w:val="00316DF5"/>
    <w:rsid w:val="003207B0"/>
    <w:rsid w:val="00320F4A"/>
    <w:rsid w:val="00323789"/>
    <w:rsid w:val="0032447A"/>
    <w:rsid w:val="003256BD"/>
    <w:rsid w:val="00325B15"/>
    <w:rsid w:val="00326F05"/>
    <w:rsid w:val="003304DA"/>
    <w:rsid w:val="00330D89"/>
    <w:rsid w:val="003315D4"/>
    <w:rsid w:val="0033176D"/>
    <w:rsid w:val="00331B91"/>
    <w:rsid w:val="00331E5B"/>
    <w:rsid w:val="00334DB3"/>
    <w:rsid w:val="00334F79"/>
    <w:rsid w:val="003357EE"/>
    <w:rsid w:val="003369F7"/>
    <w:rsid w:val="0034118A"/>
    <w:rsid w:val="00342302"/>
    <w:rsid w:val="003442C1"/>
    <w:rsid w:val="00347ACD"/>
    <w:rsid w:val="00347E18"/>
    <w:rsid w:val="00350865"/>
    <w:rsid w:val="00350922"/>
    <w:rsid w:val="00351039"/>
    <w:rsid w:val="00352177"/>
    <w:rsid w:val="00352517"/>
    <w:rsid w:val="00355B7B"/>
    <w:rsid w:val="0035651D"/>
    <w:rsid w:val="00356D32"/>
    <w:rsid w:val="00360AF1"/>
    <w:rsid w:val="003611B5"/>
    <w:rsid w:val="0036281C"/>
    <w:rsid w:val="00363ABD"/>
    <w:rsid w:val="00363C94"/>
    <w:rsid w:val="00364CCA"/>
    <w:rsid w:val="00367732"/>
    <w:rsid w:val="00371008"/>
    <w:rsid w:val="00371478"/>
    <w:rsid w:val="00371DCE"/>
    <w:rsid w:val="00372A09"/>
    <w:rsid w:val="00373333"/>
    <w:rsid w:val="0037375E"/>
    <w:rsid w:val="003741BF"/>
    <w:rsid w:val="00374A16"/>
    <w:rsid w:val="00375076"/>
    <w:rsid w:val="00375AB8"/>
    <w:rsid w:val="0037726D"/>
    <w:rsid w:val="0037775E"/>
    <w:rsid w:val="00380393"/>
    <w:rsid w:val="003808F9"/>
    <w:rsid w:val="00381936"/>
    <w:rsid w:val="00382B36"/>
    <w:rsid w:val="0038307E"/>
    <w:rsid w:val="00383DEC"/>
    <w:rsid w:val="00386E55"/>
    <w:rsid w:val="003921C6"/>
    <w:rsid w:val="003952FE"/>
    <w:rsid w:val="00395805"/>
    <w:rsid w:val="0039638F"/>
    <w:rsid w:val="00396F2E"/>
    <w:rsid w:val="003A0640"/>
    <w:rsid w:val="003A07F2"/>
    <w:rsid w:val="003A148D"/>
    <w:rsid w:val="003A2592"/>
    <w:rsid w:val="003A2822"/>
    <w:rsid w:val="003A7077"/>
    <w:rsid w:val="003A7C12"/>
    <w:rsid w:val="003B3C20"/>
    <w:rsid w:val="003B481C"/>
    <w:rsid w:val="003B7AD7"/>
    <w:rsid w:val="003B7B93"/>
    <w:rsid w:val="003C1055"/>
    <w:rsid w:val="003C1447"/>
    <w:rsid w:val="003C19FC"/>
    <w:rsid w:val="003C3198"/>
    <w:rsid w:val="003C38D2"/>
    <w:rsid w:val="003C4D81"/>
    <w:rsid w:val="003C58E1"/>
    <w:rsid w:val="003C5DD7"/>
    <w:rsid w:val="003C5FF4"/>
    <w:rsid w:val="003C6000"/>
    <w:rsid w:val="003C6619"/>
    <w:rsid w:val="003C674E"/>
    <w:rsid w:val="003C751E"/>
    <w:rsid w:val="003C7709"/>
    <w:rsid w:val="003D0582"/>
    <w:rsid w:val="003D1715"/>
    <w:rsid w:val="003D1C30"/>
    <w:rsid w:val="003D1E6D"/>
    <w:rsid w:val="003D2630"/>
    <w:rsid w:val="003D293C"/>
    <w:rsid w:val="003D38D7"/>
    <w:rsid w:val="003D5135"/>
    <w:rsid w:val="003D54F6"/>
    <w:rsid w:val="003D6155"/>
    <w:rsid w:val="003D6281"/>
    <w:rsid w:val="003D62BF"/>
    <w:rsid w:val="003E0F35"/>
    <w:rsid w:val="003E2544"/>
    <w:rsid w:val="003E3915"/>
    <w:rsid w:val="003E4AAB"/>
    <w:rsid w:val="003E4D03"/>
    <w:rsid w:val="003E5998"/>
    <w:rsid w:val="003E65CB"/>
    <w:rsid w:val="003E754A"/>
    <w:rsid w:val="003F01EE"/>
    <w:rsid w:val="003F106A"/>
    <w:rsid w:val="003F15CF"/>
    <w:rsid w:val="003F2BC3"/>
    <w:rsid w:val="003F2C15"/>
    <w:rsid w:val="003F2D33"/>
    <w:rsid w:val="003F30B6"/>
    <w:rsid w:val="003F419C"/>
    <w:rsid w:val="003F5CE1"/>
    <w:rsid w:val="003F5F8E"/>
    <w:rsid w:val="003F5FCE"/>
    <w:rsid w:val="003F6259"/>
    <w:rsid w:val="003F6697"/>
    <w:rsid w:val="003F6B44"/>
    <w:rsid w:val="003F6DEC"/>
    <w:rsid w:val="003F73E3"/>
    <w:rsid w:val="003F7989"/>
    <w:rsid w:val="003F7D31"/>
    <w:rsid w:val="00400687"/>
    <w:rsid w:val="0040242F"/>
    <w:rsid w:val="0040286E"/>
    <w:rsid w:val="00402A5D"/>
    <w:rsid w:val="0040336C"/>
    <w:rsid w:val="00404655"/>
    <w:rsid w:val="004046D9"/>
    <w:rsid w:val="00405932"/>
    <w:rsid w:val="00405B9F"/>
    <w:rsid w:val="00406288"/>
    <w:rsid w:val="004064C7"/>
    <w:rsid w:val="0040679D"/>
    <w:rsid w:val="00406D56"/>
    <w:rsid w:val="00407094"/>
    <w:rsid w:val="004139B7"/>
    <w:rsid w:val="00414473"/>
    <w:rsid w:val="00415912"/>
    <w:rsid w:val="00415A97"/>
    <w:rsid w:val="00416259"/>
    <w:rsid w:val="00416B3E"/>
    <w:rsid w:val="0041778C"/>
    <w:rsid w:val="00422826"/>
    <w:rsid w:val="004242E1"/>
    <w:rsid w:val="0042728A"/>
    <w:rsid w:val="004303B5"/>
    <w:rsid w:val="004308D3"/>
    <w:rsid w:val="00430DB7"/>
    <w:rsid w:val="004331D7"/>
    <w:rsid w:val="00433716"/>
    <w:rsid w:val="004347CF"/>
    <w:rsid w:val="00434E2C"/>
    <w:rsid w:val="00435CA6"/>
    <w:rsid w:val="004365EE"/>
    <w:rsid w:val="0043673B"/>
    <w:rsid w:val="00436F19"/>
    <w:rsid w:val="00440D97"/>
    <w:rsid w:val="00441110"/>
    <w:rsid w:val="00441C79"/>
    <w:rsid w:val="00443375"/>
    <w:rsid w:val="00443AA4"/>
    <w:rsid w:val="0044577F"/>
    <w:rsid w:val="004462D3"/>
    <w:rsid w:val="00446E5F"/>
    <w:rsid w:val="00447594"/>
    <w:rsid w:val="004478E7"/>
    <w:rsid w:val="00450AF4"/>
    <w:rsid w:val="00451028"/>
    <w:rsid w:val="004532AB"/>
    <w:rsid w:val="004538E1"/>
    <w:rsid w:val="0045404D"/>
    <w:rsid w:val="00454BD4"/>
    <w:rsid w:val="004555C9"/>
    <w:rsid w:val="004556B0"/>
    <w:rsid w:val="00462127"/>
    <w:rsid w:val="0046303B"/>
    <w:rsid w:val="004630D1"/>
    <w:rsid w:val="00463C70"/>
    <w:rsid w:val="004642DB"/>
    <w:rsid w:val="00465068"/>
    <w:rsid w:val="00465AC1"/>
    <w:rsid w:val="00465EDB"/>
    <w:rsid w:val="004663FE"/>
    <w:rsid w:val="004704E9"/>
    <w:rsid w:val="004718E2"/>
    <w:rsid w:val="0047216E"/>
    <w:rsid w:val="004722DB"/>
    <w:rsid w:val="004723FF"/>
    <w:rsid w:val="004725CF"/>
    <w:rsid w:val="004726FA"/>
    <w:rsid w:val="00472773"/>
    <w:rsid w:val="004736F6"/>
    <w:rsid w:val="0047425E"/>
    <w:rsid w:val="0047734D"/>
    <w:rsid w:val="00477635"/>
    <w:rsid w:val="00477A89"/>
    <w:rsid w:val="0048129F"/>
    <w:rsid w:val="00482374"/>
    <w:rsid w:val="004825D4"/>
    <w:rsid w:val="00483129"/>
    <w:rsid w:val="00483612"/>
    <w:rsid w:val="00483AE2"/>
    <w:rsid w:val="00483C0A"/>
    <w:rsid w:val="00484885"/>
    <w:rsid w:val="00484954"/>
    <w:rsid w:val="004849B8"/>
    <w:rsid w:val="00485462"/>
    <w:rsid w:val="004854D7"/>
    <w:rsid w:val="004859F0"/>
    <w:rsid w:val="00486860"/>
    <w:rsid w:val="00487222"/>
    <w:rsid w:val="00491D9F"/>
    <w:rsid w:val="00492C88"/>
    <w:rsid w:val="00492E5F"/>
    <w:rsid w:val="00494E34"/>
    <w:rsid w:val="00497D4B"/>
    <w:rsid w:val="00497D68"/>
    <w:rsid w:val="004A066C"/>
    <w:rsid w:val="004A1BF2"/>
    <w:rsid w:val="004A1C13"/>
    <w:rsid w:val="004A1E41"/>
    <w:rsid w:val="004A1F57"/>
    <w:rsid w:val="004A319D"/>
    <w:rsid w:val="004A7460"/>
    <w:rsid w:val="004B0226"/>
    <w:rsid w:val="004B05D5"/>
    <w:rsid w:val="004B07A0"/>
    <w:rsid w:val="004B0F54"/>
    <w:rsid w:val="004B132A"/>
    <w:rsid w:val="004B2D75"/>
    <w:rsid w:val="004B35CA"/>
    <w:rsid w:val="004B4264"/>
    <w:rsid w:val="004B4806"/>
    <w:rsid w:val="004B753D"/>
    <w:rsid w:val="004C0060"/>
    <w:rsid w:val="004C0DA3"/>
    <w:rsid w:val="004C15E8"/>
    <w:rsid w:val="004C166A"/>
    <w:rsid w:val="004C2745"/>
    <w:rsid w:val="004C2D28"/>
    <w:rsid w:val="004C3DFF"/>
    <w:rsid w:val="004C3FEC"/>
    <w:rsid w:val="004C45B3"/>
    <w:rsid w:val="004C4AB1"/>
    <w:rsid w:val="004C574C"/>
    <w:rsid w:val="004C5A0A"/>
    <w:rsid w:val="004C6E90"/>
    <w:rsid w:val="004D1379"/>
    <w:rsid w:val="004D17BD"/>
    <w:rsid w:val="004D1E53"/>
    <w:rsid w:val="004D2163"/>
    <w:rsid w:val="004D2356"/>
    <w:rsid w:val="004D3488"/>
    <w:rsid w:val="004D4F1F"/>
    <w:rsid w:val="004D4F3E"/>
    <w:rsid w:val="004D79A2"/>
    <w:rsid w:val="004E0472"/>
    <w:rsid w:val="004E1D20"/>
    <w:rsid w:val="004E1FAC"/>
    <w:rsid w:val="004E2545"/>
    <w:rsid w:val="004E3F5A"/>
    <w:rsid w:val="004E654D"/>
    <w:rsid w:val="004E6C61"/>
    <w:rsid w:val="004F06BC"/>
    <w:rsid w:val="004F0C08"/>
    <w:rsid w:val="004F144F"/>
    <w:rsid w:val="004F15EB"/>
    <w:rsid w:val="004F1DE1"/>
    <w:rsid w:val="004F2250"/>
    <w:rsid w:val="004F2702"/>
    <w:rsid w:val="004F57D5"/>
    <w:rsid w:val="004F77D9"/>
    <w:rsid w:val="004F7DDA"/>
    <w:rsid w:val="004F7EE9"/>
    <w:rsid w:val="00500C56"/>
    <w:rsid w:val="00501BC5"/>
    <w:rsid w:val="00502EFC"/>
    <w:rsid w:val="005030E7"/>
    <w:rsid w:val="00504575"/>
    <w:rsid w:val="005048DF"/>
    <w:rsid w:val="00504BF4"/>
    <w:rsid w:val="00505388"/>
    <w:rsid w:val="005055C7"/>
    <w:rsid w:val="00507048"/>
    <w:rsid w:val="005070E2"/>
    <w:rsid w:val="00507403"/>
    <w:rsid w:val="00511EE9"/>
    <w:rsid w:val="00514A07"/>
    <w:rsid w:val="00517793"/>
    <w:rsid w:val="005209E6"/>
    <w:rsid w:val="005218AE"/>
    <w:rsid w:val="00524301"/>
    <w:rsid w:val="005246AC"/>
    <w:rsid w:val="0052683C"/>
    <w:rsid w:val="00526FC8"/>
    <w:rsid w:val="0052709F"/>
    <w:rsid w:val="0052778F"/>
    <w:rsid w:val="00527D85"/>
    <w:rsid w:val="0053016D"/>
    <w:rsid w:val="00531A75"/>
    <w:rsid w:val="00531FEA"/>
    <w:rsid w:val="00532BB5"/>
    <w:rsid w:val="005346DD"/>
    <w:rsid w:val="0053476E"/>
    <w:rsid w:val="00535888"/>
    <w:rsid w:val="00535A57"/>
    <w:rsid w:val="0053657B"/>
    <w:rsid w:val="005408F4"/>
    <w:rsid w:val="00540EFB"/>
    <w:rsid w:val="005417E6"/>
    <w:rsid w:val="00541912"/>
    <w:rsid w:val="00541C3D"/>
    <w:rsid w:val="00542942"/>
    <w:rsid w:val="00544658"/>
    <w:rsid w:val="00546780"/>
    <w:rsid w:val="00546804"/>
    <w:rsid w:val="005475E1"/>
    <w:rsid w:val="00547607"/>
    <w:rsid w:val="00550053"/>
    <w:rsid w:val="005516ED"/>
    <w:rsid w:val="00551815"/>
    <w:rsid w:val="00552B5A"/>
    <w:rsid w:val="005534B1"/>
    <w:rsid w:val="00553B04"/>
    <w:rsid w:val="00554090"/>
    <w:rsid w:val="00554713"/>
    <w:rsid w:val="00554EE6"/>
    <w:rsid w:val="005555D9"/>
    <w:rsid w:val="00556D7C"/>
    <w:rsid w:val="00557D92"/>
    <w:rsid w:val="00560C40"/>
    <w:rsid w:val="00561147"/>
    <w:rsid w:val="005612A6"/>
    <w:rsid w:val="00561917"/>
    <w:rsid w:val="005621F5"/>
    <w:rsid w:val="00562831"/>
    <w:rsid w:val="00562F00"/>
    <w:rsid w:val="00563182"/>
    <w:rsid w:val="00564024"/>
    <w:rsid w:val="00565405"/>
    <w:rsid w:val="0056593F"/>
    <w:rsid w:val="00565E5F"/>
    <w:rsid w:val="00566A7D"/>
    <w:rsid w:val="0057015C"/>
    <w:rsid w:val="005712BB"/>
    <w:rsid w:val="005712C4"/>
    <w:rsid w:val="00572405"/>
    <w:rsid w:val="00573618"/>
    <w:rsid w:val="00573B3D"/>
    <w:rsid w:val="00573D95"/>
    <w:rsid w:val="00573D97"/>
    <w:rsid w:val="005754C0"/>
    <w:rsid w:val="00575FB6"/>
    <w:rsid w:val="0057630C"/>
    <w:rsid w:val="00577440"/>
    <w:rsid w:val="00577F41"/>
    <w:rsid w:val="0058032B"/>
    <w:rsid w:val="005811D0"/>
    <w:rsid w:val="00582F2D"/>
    <w:rsid w:val="0058352B"/>
    <w:rsid w:val="005838DE"/>
    <w:rsid w:val="005839E4"/>
    <w:rsid w:val="00583BA9"/>
    <w:rsid w:val="00583F17"/>
    <w:rsid w:val="00583F9F"/>
    <w:rsid w:val="005848EF"/>
    <w:rsid w:val="0058490A"/>
    <w:rsid w:val="005860BA"/>
    <w:rsid w:val="005865DC"/>
    <w:rsid w:val="005874F0"/>
    <w:rsid w:val="00591CED"/>
    <w:rsid w:val="00594066"/>
    <w:rsid w:val="0059425A"/>
    <w:rsid w:val="00594996"/>
    <w:rsid w:val="0059499D"/>
    <w:rsid w:val="00595B22"/>
    <w:rsid w:val="00596192"/>
    <w:rsid w:val="0059719C"/>
    <w:rsid w:val="005A0023"/>
    <w:rsid w:val="005A0405"/>
    <w:rsid w:val="005A059C"/>
    <w:rsid w:val="005A0888"/>
    <w:rsid w:val="005A102F"/>
    <w:rsid w:val="005A1D2B"/>
    <w:rsid w:val="005A2195"/>
    <w:rsid w:val="005A324E"/>
    <w:rsid w:val="005A4755"/>
    <w:rsid w:val="005A4B02"/>
    <w:rsid w:val="005A5457"/>
    <w:rsid w:val="005A623A"/>
    <w:rsid w:val="005B0A62"/>
    <w:rsid w:val="005B12A9"/>
    <w:rsid w:val="005B12D6"/>
    <w:rsid w:val="005B1881"/>
    <w:rsid w:val="005B2490"/>
    <w:rsid w:val="005B2664"/>
    <w:rsid w:val="005B3BBD"/>
    <w:rsid w:val="005B3C78"/>
    <w:rsid w:val="005B4040"/>
    <w:rsid w:val="005B4CAE"/>
    <w:rsid w:val="005B602B"/>
    <w:rsid w:val="005B7102"/>
    <w:rsid w:val="005B732C"/>
    <w:rsid w:val="005B7BA4"/>
    <w:rsid w:val="005C06D0"/>
    <w:rsid w:val="005C0F1B"/>
    <w:rsid w:val="005C141D"/>
    <w:rsid w:val="005C32E8"/>
    <w:rsid w:val="005C47EB"/>
    <w:rsid w:val="005C5134"/>
    <w:rsid w:val="005C5155"/>
    <w:rsid w:val="005C5506"/>
    <w:rsid w:val="005C72E1"/>
    <w:rsid w:val="005C761B"/>
    <w:rsid w:val="005C7AD1"/>
    <w:rsid w:val="005D17C7"/>
    <w:rsid w:val="005D2088"/>
    <w:rsid w:val="005D2FAD"/>
    <w:rsid w:val="005D39BB"/>
    <w:rsid w:val="005D3E09"/>
    <w:rsid w:val="005D4531"/>
    <w:rsid w:val="005D47C7"/>
    <w:rsid w:val="005D6683"/>
    <w:rsid w:val="005D7E58"/>
    <w:rsid w:val="005E0239"/>
    <w:rsid w:val="005E0B37"/>
    <w:rsid w:val="005E0DC5"/>
    <w:rsid w:val="005E1171"/>
    <w:rsid w:val="005E199E"/>
    <w:rsid w:val="005E1DF7"/>
    <w:rsid w:val="005E2AC2"/>
    <w:rsid w:val="005E2C5E"/>
    <w:rsid w:val="005E3A94"/>
    <w:rsid w:val="005E41C9"/>
    <w:rsid w:val="005E437C"/>
    <w:rsid w:val="005E4CC0"/>
    <w:rsid w:val="005E670D"/>
    <w:rsid w:val="005E7CAF"/>
    <w:rsid w:val="005F05AA"/>
    <w:rsid w:val="005F0F6D"/>
    <w:rsid w:val="005F15BE"/>
    <w:rsid w:val="005F36F0"/>
    <w:rsid w:val="005F3949"/>
    <w:rsid w:val="005F4576"/>
    <w:rsid w:val="005F466B"/>
    <w:rsid w:val="005F4C20"/>
    <w:rsid w:val="005F4D30"/>
    <w:rsid w:val="005F506F"/>
    <w:rsid w:val="005F5BBB"/>
    <w:rsid w:val="005F6849"/>
    <w:rsid w:val="005F6DB5"/>
    <w:rsid w:val="005F72E5"/>
    <w:rsid w:val="005F7D28"/>
    <w:rsid w:val="005F7EC4"/>
    <w:rsid w:val="0060025B"/>
    <w:rsid w:val="006027FE"/>
    <w:rsid w:val="00602EF2"/>
    <w:rsid w:val="00603561"/>
    <w:rsid w:val="00603920"/>
    <w:rsid w:val="00603A87"/>
    <w:rsid w:val="00603D88"/>
    <w:rsid w:val="0060561A"/>
    <w:rsid w:val="006058CD"/>
    <w:rsid w:val="00605B43"/>
    <w:rsid w:val="00605EFF"/>
    <w:rsid w:val="0060626A"/>
    <w:rsid w:val="0060749C"/>
    <w:rsid w:val="006077B3"/>
    <w:rsid w:val="00610187"/>
    <w:rsid w:val="006109AF"/>
    <w:rsid w:val="00610C05"/>
    <w:rsid w:val="00610EA4"/>
    <w:rsid w:val="00610F78"/>
    <w:rsid w:val="006115BA"/>
    <w:rsid w:val="00611E3F"/>
    <w:rsid w:val="00613589"/>
    <w:rsid w:val="006139C7"/>
    <w:rsid w:val="00613AEB"/>
    <w:rsid w:val="00613C2D"/>
    <w:rsid w:val="00614747"/>
    <w:rsid w:val="00614A41"/>
    <w:rsid w:val="00614C39"/>
    <w:rsid w:val="006154B4"/>
    <w:rsid w:val="00616A61"/>
    <w:rsid w:val="00620222"/>
    <w:rsid w:val="00621579"/>
    <w:rsid w:val="006216C6"/>
    <w:rsid w:val="0062192B"/>
    <w:rsid w:val="00622DCE"/>
    <w:rsid w:val="00623B51"/>
    <w:rsid w:val="00624B1B"/>
    <w:rsid w:val="00624BDF"/>
    <w:rsid w:val="0062534A"/>
    <w:rsid w:val="00625C6C"/>
    <w:rsid w:val="00625F3D"/>
    <w:rsid w:val="0063082A"/>
    <w:rsid w:val="00630B20"/>
    <w:rsid w:val="00631B73"/>
    <w:rsid w:val="006321D4"/>
    <w:rsid w:val="0063235E"/>
    <w:rsid w:val="006325DB"/>
    <w:rsid w:val="00632686"/>
    <w:rsid w:val="006331CA"/>
    <w:rsid w:val="006333BD"/>
    <w:rsid w:val="00633873"/>
    <w:rsid w:val="006339FA"/>
    <w:rsid w:val="00634BBE"/>
    <w:rsid w:val="00635142"/>
    <w:rsid w:val="00635E78"/>
    <w:rsid w:val="006370AA"/>
    <w:rsid w:val="00637A4A"/>
    <w:rsid w:val="00640823"/>
    <w:rsid w:val="00641399"/>
    <w:rsid w:val="00641504"/>
    <w:rsid w:val="00641AC8"/>
    <w:rsid w:val="00641BC6"/>
    <w:rsid w:val="00641EE6"/>
    <w:rsid w:val="00642092"/>
    <w:rsid w:val="006427C8"/>
    <w:rsid w:val="00643854"/>
    <w:rsid w:val="00645158"/>
    <w:rsid w:val="006452AB"/>
    <w:rsid w:val="006452E9"/>
    <w:rsid w:val="0064547C"/>
    <w:rsid w:val="006456AE"/>
    <w:rsid w:val="00645D28"/>
    <w:rsid w:val="00645E89"/>
    <w:rsid w:val="00647D24"/>
    <w:rsid w:val="0065025F"/>
    <w:rsid w:val="00650E8C"/>
    <w:rsid w:val="00652262"/>
    <w:rsid w:val="0065292C"/>
    <w:rsid w:val="00652985"/>
    <w:rsid w:val="0065315D"/>
    <w:rsid w:val="0065337B"/>
    <w:rsid w:val="00654759"/>
    <w:rsid w:val="00654AEC"/>
    <w:rsid w:val="0065712D"/>
    <w:rsid w:val="00660776"/>
    <w:rsid w:val="006623F6"/>
    <w:rsid w:val="00662AFF"/>
    <w:rsid w:val="00662FD0"/>
    <w:rsid w:val="006633CC"/>
    <w:rsid w:val="006638D4"/>
    <w:rsid w:val="00664033"/>
    <w:rsid w:val="006648FB"/>
    <w:rsid w:val="00664E6B"/>
    <w:rsid w:val="00666308"/>
    <w:rsid w:val="006668A2"/>
    <w:rsid w:val="00666A28"/>
    <w:rsid w:val="00667264"/>
    <w:rsid w:val="00667CD6"/>
    <w:rsid w:val="006702EA"/>
    <w:rsid w:val="00670754"/>
    <w:rsid w:val="00671F27"/>
    <w:rsid w:val="0067296A"/>
    <w:rsid w:val="006738E1"/>
    <w:rsid w:val="006739B1"/>
    <w:rsid w:val="006753B0"/>
    <w:rsid w:val="00676B8A"/>
    <w:rsid w:val="00677537"/>
    <w:rsid w:val="006801FE"/>
    <w:rsid w:val="00681527"/>
    <w:rsid w:val="00681E6C"/>
    <w:rsid w:val="00681EE3"/>
    <w:rsid w:val="00682246"/>
    <w:rsid w:val="00682B09"/>
    <w:rsid w:val="00683199"/>
    <w:rsid w:val="006831A3"/>
    <w:rsid w:val="00685767"/>
    <w:rsid w:val="00685F0B"/>
    <w:rsid w:val="006864E1"/>
    <w:rsid w:val="00686552"/>
    <w:rsid w:val="006871C4"/>
    <w:rsid w:val="0068766A"/>
    <w:rsid w:val="006878C0"/>
    <w:rsid w:val="00687F10"/>
    <w:rsid w:val="0069003C"/>
    <w:rsid w:val="006900A8"/>
    <w:rsid w:val="00690E21"/>
    <w:rsid w:val="006911FC"/>
    <w:rsid w:val="006919A9"/>
    <w:rsid w:val="00691B92"/>
    <w:rsid w:val="006934F9"/>
    <w:rsid w:val="00693598"/>
    <w:rsid w:val="00693DE1"/>
    <w:rsid w:val="00694282"/>
    <w:rsid w:val="00694305"/>
    <w:rsid w:val="006955A8"/>
    <w:rsid w:val="00697748"/>
    <w:rsid w:val="006A0448"/>
    <w:rsid w:val="006A0FCB"/>
    <w:rsid w:val="006A1878"/>
    <w:rsid w:val="006A25AA"/>
    <w:rsid w:val="006A2CBD"/>
    <w:rsid w:val="006A3521"/>
    <w:rsid w:val="006A4FCD"/>
    <w:rsid w:val="006A5095"/>
    <w:rsid w:val="006A5542"/>
    <w:rsid w:val="006A5859"/>
    <w:rsid w:val="006A7452"/>
    <w:rsid w:val="006A7E1E"/>
    <w:rsid w:val="006B04D3"/>
    <w:rsid w:val="006B0515"/>
    <w:rsid w:val="006B240F"/>
    <w:rsid w:val="006B4F2D"/>
    <w:rsid w:val="006B51C5"/>
    <w:rsid w:val="006B51FD"/>
    <w:rsid w:val="006B5644"/>
    <w:rsid w:val="006B62D4"/>
    <w:rsid w:val="006B6DE0"/>
    <w:rsid w:val="006B7285"/>
    <w:rsid w:val="006B791B"/>
    <w:rsid w:val="006B7B3D"/>
    <w:rsid w:val="006C2C96"/>
    <w:rsid w:val="006C3794"/>
    <w:rsid w:val="006C4605"/>
    <w:rsid w:val="006C4A39"/>
    <w:rsid w:val="006C6BE2"/>
    <w:rsid w:val="006C79D1"/>
    <w:rsid w:val="006D0107"/>
    <w:rsid w:val="006D2385"/>
    <w:rsid w:val="006D2D4E"/>
    <w:rsid w:val="006D41AA"/>
    <w:rsid w:val="006D5B0A"/>
    <w:rsid w:val="006D6E24"/>
    <w:rsid w:val="006D7CCC"/>
    <w:rsid w:val="006D7D12"/>
    <w:rsid w:val="006E1155"/>
    <w:rsid w:val="006E423D"/>
    <w:rsid w:val="006E4D31"/>
    <w:rsid w:val="006E5232"/>
    <w:rsid w:val="006E6503"/>
    <w:rsid w:val="006E6E65"/>
    <w:rsid w:val="006E7420"/>
    <w:rsid w:val="006E74B5"/>
    <w:rsid w:val="006F0A48"/>
    <w:rsid w:val="006F0B31"/>
    <w:rsid w:val="006F0E17"/>
    <w:rsid w:val="006F1CC3"/>
    <w:rsid w:val="006F30DD"/>
    <w:rsid w:val="006F5622"/>
    <w:rsid w:val="006F5BDD"/>
    <w:rsid w:val="006F7698"/>
    <w:rsid w:val="006F788B"/>
    <w:rsid w:val="00701458"/>
    <w:rsid w:val="0070160A"/>
    <w:rsid w:val="00703979"/>
    <w:rsid w:val="00703B84"/>
    <w:rsid w:val="00703E0E"/>
    <w:rsid w:val="00704336"/>
    <w:rsid w:val="0070467E"/>
    <w:rsid w:val="0070484E"/>
    <w:rsid w:val="0070502F"/>
    <w:rsid w:val="00712BFC"/>
    <w:rsid w:val="0071323D"/>
    <w:rsid w:val="0071343E"/>
    <w:rsid w:val="00714552"/>
    <w:rsid w:val="00715B76"/>
    <w:rsid w:val="00715E3C"/>
    <w:rsid w:val="0071689E"/>
    <w:rsid w:val="00716B6C"/>
    <w:rsid w:val="00716EA4"/>
    <w:rsid w:val="00717FA3"/>
    <w:rsid w:val="00721961"/>
    <w:rsid w:val="0072209F"/>
    <w:rsid w:val="00722327"/>
    <w:rsid w:val="0072343A"/>
    <w:rsid w:val="007238C3"/>
    <w:rsid w:val="007245DF"/>
    <w:rsid w:val="00725616"/>
    <w:rsid w:val="007259C6"/>
    <w:rsid w:val="00725B8F"/>
    <w:rsid w:val="00727E7A"/>
    <w:rsid w:val="007319B2"/>
    <w:rsid w:val="0073277E"/>
    <w:rsid w:val="00732D4D"/>
    <w:rsid w:val="007337E3"/>
    <w:rsid w:val="00734828"/>
    <w:rsid w:val="00734D99"/>
    <w:rsid w:val="00735839"/>
    <w:rsid w:val="00736026"/>
    <w:rsid w:val="007364AD"/>
    <w:rsid w:val="00737681"/>
    <w:rsid w:val="007379B1"/>
    <w:rsid w:val="00737BFA"/>
    <w:rsid w:val="00741598"/>
    <w:rsid w:val="0074274A"/>
    <w:rsid w:val="00743E40"/>
    <w:rsid w:val="007451EC"/>
    <w:rsid w:val="00745D93"/>
    <w:rsid w:val="00750164"/>
    <w:rsid w:val="00751714"/>
    <w:rsid w:val="00755178"/>
    <w:rsid w:val="007567DB"/>
    <w:rsid w:val="00756A86"/>
    <w:rsid w:val="00757B9F"/>
    <w:rsid w:val="00757FF0"/>
    <w:rsid w:val="00761921"/>
    <w:rsid w:val="007623DE"/>
    <w:rsid w:val="007629C2"/>
    <w:rsid w:val="00762F3D"/>
    <w:rsid w:val="00763481"/>
    <w:rsid w:val="00766C10"/>
    <w:rsid w:val="00766F14"/>
    <w:rsid w:val="007715B1"/>
    <w:rsid w:val="00771E9D"/>
    <w:rsid w:val="00772889"/>
    <w:rsid w:val="00773444"/>
    <w:rsid w:val="007740ED"/>
    <w:rsid w:val="00775206"/>
    <w:rsid w:val="0077559E"/>
    <w:rsid w:val="007762D3"/>
    <w:rsid w:val="007767C1"/>
    <w:rsid w:val="0078130F"/>
    <w:rsid w:val="007825C2"/>
    <w:rsid w:val="00783D24"/>
    <w:rsid w:val="00785442"/>
    <w:rsid w:val="00793958"/>
    <w:rsid w:val="0079408E"/>
    <w:rsid w:val="00795561"/>
    <w:rsid w:val="007968EA"/>
    <w:rsid w:val="00796A00"/>
    <w:rsid w:val="007A2155"/>
    <w:rsid w:val="007A397E"/>
    <w:rsid w:val="007A4C38"/>
    <w:rsid w:val="007A5968"/>
    <w:rsid w:val="007B066F"/>
    <w:rsid w:val="007B3D73"/>
    <w:rsid w:val="007B4C45"/>
    <w:rsid w:val="007B50FB"/>
    <w:rsid w:val="007B78CA"/>
    <w:rsid w:val="007C0494"/>
    <w:rsid w:val="007C1B29"/>
    <w:rsid w:val="007C2795"/>
    <w:rsid w:val="007C365B"/>
    <w:rsid w:val="007C3A26"/>
    <w:rsid w:val="007C6D5A"/>
    <w:rsid w:val="007D1D98"/>
    <w:rsid w:val="007D2188"/>
    <w:rsid w:val="007D35BE"/>
    <w:rsid w:val="007D3BC5"/>
    <w:rsid w:val="007D5042"/>
    <w:rsid w:val="007D6A92"/>
    <w:rsid w:val="007E03DD"/>
    <w:rsid w:val="007E0940"/>
    <w:rsid w:val="007E09A6"/>
    <w:rsid w:val="007E19F4"/>
    <w:rsid w:val="007E26A9"/>
    <w:rsid w:val="007E37F4"/>
    <w:rsid w:val="007E6D53"/>
    <w:rsid w:val="007E6F33"/>
    <w:rsid w:val="007E7F86"/>
    <w:rsid w:val="007F4B88"/>
    <w:rsid w:val="007F5531"/>
    <w:rsid w:val="007F5679"/>
    <w:rsid w:val="007F6DF8"/>
    <w:rsid w:val="007F72C9"/>
    <w:rsid w:val="007F759C"/>
    <w:rsid w:val="007F7A06"/>
    <w:rsid w:val="008033FB"/>
    <w:rsid w:val="008036EC"/>
    <w:rsid w:val="00803BFD"/>
    <w:rsid w:val="00805FFD"/>
    <w:rsid w:val="00807DFB"/>
    <w:rsid w:val="00810168"/>
    <w:rsid w:val="008111A2"/>
    <w:rsid w:val="00811CF8"/>
    <w:rsid w:val="008128A1"/>
    <w:rsid w:val="00813038"/>
    <w:rsid w:val="00813507"/>
    <w:rsid w:val="00816C19"/>
    <w:rsid w:val="00820B84"/>
    <w:rsid w:val="00823E9C"/>
    <w:rsid w:val="00823FE7"/>
    <w:rsid w:val="00824FB3"/>
    <w:rsid w:val="00825708"/>
    <w:rsid w:val="00825811"/>
    <w:rsid w:val="00826489"/>
    <w:rsid w:val="008271C5"/>
    <w:rsid w:val="008308FE"/>
    <w:rsid w:val="0083139A"/>
    <w:rsid w:val="008317BA"/>
    <w:rsid w:val="00832081"/>
    <w:rsid w:val="008334C7"/>
    <w:rsid w:val="00833D2D"/>
    <w:rsid w:val="008341C3"/>
    <w:rsid w:val="00834B0F"/>
    <w:rsid w:val="008351D0"/>
    <w:rsid w:val="00836EB4"/>
    <w:rsid w:val="008414D9"/>
    <w:rsid w:val="0084157A"/>
    <w:rsid w:val="00843550"/>
    <w:rsid w:val="00843D4E"/>
    <w:rsid w:val="0084559A"/>
    <w:rsid w:val="008457C4"/>
    <w:rsid w:val="008462A5"/>
    <w:rsid w:val="008467B8"/>
    <w:rsid w:val="00846E65"/>
    <w:rsid w:val="00846F7C"/>
    <w:rsid w:val="00850551"/>
    <w:rsid w:val="008522DE"/>
    <w:rsid w:val="0085765E"/>
    <w:rsid w:val="00860563"/>
    <w:rsid w:val="00861029"/>
    <w:rsid w:val="0086301C"/>
    <w:rsid w:val="00863919"/>
    <w:rsid w:val="0086395F"/>
    <w:rsid w:val="008640B3"/>
    <w:rsid w:val="00864388"/>
    <w:rsid w:val="00865C8E"/>
    <w:rsid w:val="00866C82"/>
    <w:rsid w:val="008676A6"/>
    <w:rsid w:val="0087019A"/>
    <w:rsid w:val="0087021B"/>
    <w:rsid w:val="00870D46"/>
    <w:rsid w:val="00870DD0"/>
    <w:rsid w:val="00870E3F"/>
    <w:rsid w:val="00871219"/>
    <w:rsid w:val="00872C62"/>
    <w:rsid w:val="00873FD7"/>
    <w:rsid w:val="008754B6"/>
    <w:rsid w:val="008756B6"/>
    <w:rsid w:val="0087575A"/>
    <w:rsid w:val="0087664E"/>
    <w:rsid w:val="00876D76"/>
    <w:rsid w:val="008831BA"/>
    <w:rsid w:val="00883B96"/>
    <w:rsid w:val="008843D6"/>
    <w:rsid w:val="00886353"/>
    <w:rsid w:val="008869E4"/>
    <w:rsid w:val="00887C89"/>
    <w:rsid w:val="00887E5B"/>
    <w:rsid w:val="00887EF0"/>
    <w:rsid w:val="008906C5"/>
    <w:rsid w:val="0089136B"/>
    <w:rsid w:val="0089180F"/>
    <w:rsid w:val="00894327"/>
    <w:rsid w:val="00895471"/>
    <w:rsid w:val="00895572"/>
    <w:rsid w:val="0089597F"/>
    <w:rsid w:val="008A0323"/>
    <w:rsid w:val="008A1BA3"/>
    <w:rsid w:val="008A2442"/>
    <w:rsid w:val="008A284A"/>
    <w:rsid w:val="008A2CE1"/>
    <w:rsid w:val="008A3B28"/>
    <w:rsid w:val="008A3D1B"/>
    <w:rsid w:val="008A40E4"/>
    <w:rsid w:val="008A4B4D"/>
    <w:rsid w:val="008A4CC0"/>
    <w:rsid w:val="008A7B1C"/>
    <w:rsid w:val="008B06AB"/>
    <w:rsid w:val="008B0E3B"/>
    <w:rsid w:val="008B159B"/>
    <w:rsid w:val="008B1DAB"/>
    <w:rsid w:val="008B22B3"/>
    <w:rsid w:val="008B42EF"/>
    <w:rsid w:val="008B66C5"/>
    <w:rsid w:val="008B72E1"/>
    <w:rsid w:val="008C1C40"/>
    <w:rsid w:val="008C31D1"/>
    <w:rsid w:val="008C4B0F"/>
    <w:rsid w:val="008C5CFF"/>
    <w:rsid w:val="008D07AB"/>
    <w:rsid w:val="008D172F"/>
    <w:rsid w:val="008D186D"/>
    <w:rsid w:val="008D2ECE"/>
    <w:rsid w:val="008D30E3"/>
    <w:rsid w:val="008D3BB7"/>
    <w:rsid w:val="008D54B0"/>
    <w:rsid w:val="008D572B"/>
    <w:rsid w:val="008D5F7A"/>
    <w:rsid w:val="008D7FE1"/>
    <w:rsid w:val="008E22C9"/>
    <w:rsid w:val="008E39F2"/>
    <w:rsid w:val="008E3B98"/>
    <w:rsid w:val="008E3CE1"/>
    <w:rsid w:val="008E3D11"/>
    <w:rsid w:val="008E45F3"/>
    <w:rsid w:val="008E65E1"/>
    <w:rsid w:val="008E6C50"/>
    <w:rsid w:val="008E72EB"/>
    <w:rsid w:val="008E7B61"/>
    <w:rsid w:val="008F1517"/>
    <w:rsid w:val="008F205B"/>
    <w:rsid w:val="008F2504"/>
    <w:rsid w:val="008F2FED"/>
    <w:rsid w:val="008F3760"/>
    <w:rsid w:val="008F3A25"/>
    <w:rsid w:val="008F4510"/>
    <w:rsid w:val="008F4F9A"/>
    <w:rsid w:val="008F506E"/>
    <w:rsid w:val="008F54EC"/>
    <w:rsid w:val="008F6666"/>
    <w:rsid w:val="008F6E27"/>
    <w:rsid w:val="008F7136"/>
    <w:rsid w:val="008F7504"/>
    <w:rsid w:val="00900C38"/>
    <w:rsid w:val="00901463"/>
    <w:rsid w:val="00901AA8"/>
    <w:rsid w:val="00901E30"/>
    <w:rsid w:val="009021E6"/>
    <w:rsid w:val="00904369"/>
    <w:rsid w:val="009059B6"/>
    <w:rsid w:val="00906452"/>
    <w:rsid w:val="00907B68"/>
    <w:rsid w:val="00907FC9"/>
    <w:rsid w:val="00910338"/>
    <w:rsid w:val="00910B5E"/>
    <w:rsid w:val="009112EC"/>
    <w:rsid w:val="0091132A"/>
    <w:rsid w:val="00915013"/>
    <w:rsid w:val="00915626"/>
    <w:rsid w:val="009165A0"/>
    <w:rsid w:val="00916945"/>
    <w:rsid w:val="009172FB"/>
    <w:rsid w:val="0092081E"/>
    <w:rsid w:val="009213BB"/>
    <w:rsid w:val="009224F0"/>
    <w:rsid w:val="0092272B"/>
    <w:rsid w:val="00922D85"/>
    <w:rsid w:val="009238D7"/>
    <w:rsid w:val="009239C3"/>
    <w:rsid w:val="0092498A"/>
    <w:rsid w:val="00925A08"/>
    <w:rsid w:val="009308C9"/>
    <w:rsid w:val="00931435"/>
    <w:rsid w:val="00931C60"/>
    <w:rsid w:val="0093305A"/>
    <w:rsid w:val="00933985"/>
    <w:rsid w:val="00933C44"/>
    <w:rsid w:val="00935CC4"/>
    <w:rsid w:val="00940C30"/>
    <w:rsid w:val="00941154"/>
    <w:rsid w:val="00943F01"/>
    <w:rsid w:val="0094415F"/>
    <w:rsid w:val="00946A50"/>
    <w:rsid w:val="00946D2D"/>
    <w:rsid w:val="00947321"/>
    <w:rsid w:val="0094745F"/>
    <w:rsid w:val="00947522"/>
    <w:rsid w:val="009506F4"/>
    <w:rsid w:val="0095198D"/>
    <w:rsid w:val="00951A45"/>
    <w:rsid w:val="00951AD2"/>
    <w:rsid w:val="00952DA7"/>
    <w:rsid w:val="00954A3D"/>
    <w:rsid w:val="00955A7B"/>
    <w:rsid w:val="00956436"/>
    <w:rsid w:val="00956CAB"/>
    <w:rsid w:val="00957D7E"/>
    <w:rsid w:val="009612CB"/>
    <w:rsid w:val="00962056"/>
    <w:rsid w:val="00962E28"/>
    <w:rsid w:val="00964926"/>
    <w:rsid w:val="00966D51"/>
    <w:rsid w:val="00967346"/>
    <w:rsid w:val="009677FD"/>
    <w:rsid w:val="00967B44"/>
    <w:rsid w:val="00967D30"/>
    <w:rsid w:val="00970577"/>
    <w:rsid w:val="0097061A"/>
    <w:rsid w:val="00971A3C"/>
    <w:rsid w:val="00971B00"/>
    <w:rsid w:val="00971F7E"/>
    <w:rsid w:val="00972AD2"/>
    <w:rsid w:val="009737B1"/>
    <w:rsid w:val="00973F56"/>
    <w:rsid w:val="0097451F"/>
    <w:rsid w:val="009821DB"/>
    <w:rsid w:val="00982504"/>
    <w:rsid w:val="0098268B"/>
    <w:rsid w:val="00984207"/>
    <w:rsid w:val="00984D9F"/>
    <w:rsid w:val="0098579C"/>
    <w:rsid w:val="00985805"/>
    <w:rsid w:val="009869B1"/>
    <w:rsid w:val="00990676"/>
    <w:rsid w:val="00991EAD"/>
    <w:rsid w:val="00992327"/>
    <w:rsid w:val="009932B0"/>
    <w:rsid w:val="009932B7"/>
    <w:rsid w:val="00997267"/>
    <w:rsid w:val="009975C0"/>
    <w:rsid w:val="009A2C1F"/>
    <w:rsid w:val="009A2E31"/>
    <w:rsid w:val="009A346E"/>
    <w:rsid w:val="009A487C"/>
    <w:rsid w:val="009A58CC"/>
    <w:rsid w:val="009A60CB"/>
    <w:rsid w:val="009A6E80"/>
    <w:rsid w:val="009A7987"/>
    <w:rsid w:val="009A7E2E"/>
    <w:rsid w:val="009B0434"/>
    <w:rsid w:val="009B0597"/>
    <w:rsid w:val="009B1186"/>
    <w:rsid w:val="009B125A"/>
    <w:rsid w:val="009B1D72"/>
    <w:rsid w:val="009B1FAC"/>
    <w:rsid w:val="009B26A6"/>
    <w:rsid w:val="009B38DA"/>
    <w:rsid w:val="009B390E"/>
    <w:rsid w:val="009B45EB"/>
    <w:rsid w:val="009B4C89"/>
    <w:rsid w:val="009B5C21"/>
    <w:rsid w:val="009B76FB"/>
    <w:rsid w:val="009B7C06"/>
    <w:rsid w:val="009B7EF0"/>
    <w:rsid w:val="009C0B28"/>
    <w:rsid w:val="009C10B4"/>
    <w:rsid w:val="009C37C7"/>
    <w:rsid w:val="009C3C4A"/>
    <w:rsid w:val="009C42DF"/>
    <w:rsid w:val="009C4B55"/>
    <w:rsid w:val="009C52F3"/>
    <w:rsid w:val="009C59D3"/>
    <w:rsid w:val="009D4564"/>
    <w:rsid w:val="009D4B76"/>
    <w:rsid w:val="009D4BEA"/>
    <w:rsid w:val="009D6173"/>
    <w:rsid w:val="009D6228"/>
    <w:rsid w:val="009D6DD4"/>
    <w:rsid w:val="009D7457"/>
    <w:rsid w:val="009D7A2A"/>
    <w:rsid w:val="009D7D36"/>
    <w:rsid w:val="009E1352"/>
    <w:rsid w:val="009E26D3"/>
    <w:rsid w:val="009E4ADE"/>
    <w:rsid w:val="009F04D6"/>
    <w:rsid w:val="009F0822"/>
    <w:rsid w:val="009F13CF"/>
    <w:rsid w:val="009F18F5"/>
    <w:rsid w:val="009F211E"/>
    <w:rsid w:val="009F2A63"/>
    <w:rsid w:val="009F4217"/>
    <w:rsid w:val="009F4BC3"/>
    <w:rsid w:val="009F5154"/>
    <w:rsid w:val="009F57DB"/>
    <w:rsid w:val="009F61D3"/>
    <w:rsid w:val="009F6877"/>
    <w:rsid w:val="009F77D7"/>
    <w:rsid w:val="009F7FD2"/>
    <w:rsid w:val="00A005D4"/>
    <w:rsid w:val="00A007C9"/>
    <w:rsid w:val="00A01A3C"/>
    <w:rsid w:val="00A0203B"/>
    <w:rsid w:val="00A02743"/>
    <w:rsid w:val="00A028CF"/>
    <w:rsid w:val="00A02E96"/>
    <w:rsid w:val="00A03545"/>
    <w:rsid w:val="00A0481F"/>
    <w:rsid w:val="00A0524C"/>
    <w:rsid w:val="00A05867"/>
    <w:rsid w:val="00A05FA7"/>
    <w:rsid w:val="00A10E64"/>
    <w:rsid w:val="00A11292"/>
    <w:rsid w:val="00A11C59"/>
    <w:rsid w:val="00A124FE"/>
    <w:rsid w:val="00A127D8"/>
    <w:rsid w:val="00A12FB6"/>
    <w:rsid w:val="00A14421"/>
    <w:rsid w:val="00A14F89"/>
    <w:rsid w:val="00A163CC"/>
    <w:rsid w:val="00A1677D"/>
    <w:rsid w:val="00A16B2A"/>
    <w:rsid w:val="00A17A42"/>
    <w:rsid w:val="00A204AB"/>
    <w:rsid w:val="00A216BE"/>
    <w:rsid w:val="00A22709"/>
    <w:rsid w:val="00A23896"/>
    <w:rsid w:val="00A23C6B"/>
    <w:rsid w:val="00A2487C"/>
    <w:rsid w:val="00A24ABB"/>
    <w:rsid w:val="00A250C7"/>
    <w:rsid w:val="00A25A22"/>
    <w:rsid w:val="00A26350"/>
    <w:rsid w:val="00A26F39"/>
    <w:rsid w:val="00A31217"/>
    <w:rsid w:val="00A34146"/>
    <w:rsid w:val="00A34217"/>
    <w:rsid w:val="00A34D71"/>
    <w:rsid w:val="00A3573B"/>
    <w:rsid w:val="00A3699D"/>
    <w:rsid w:val="00A3759D"/>
    <w:rsid w:val="00A41B06"/>
    <w:rsid w:val="00A41FB5"/>
    <w:rsid w:val="00A43F7F"/>
    <w:rsid w:val="00A448A2"/>
    <w:rsid w:val="00A45D66"/>
    <w:rsid w:val="00A45F83"/>
    <w:rsid w:val="00A468FB"/>
    <w:rsid w:val="00A46F54"/>
    <w:rsid w:val="00A46F7E"/>
    <w:rsid w:val="00A470AB"/>
    <w:rsid w:val="00A47BEC"/>
    <w:rsid w:val="00A502D7"/>
    <w:rsid w:val="00A51209"/>
    <w:rsid w:val="00A51CEC"/>
    <w:rsid w:val="00A52FA5"/>
    <w:rsid w:val="00A545EA"/>
    <w:rsid w:val="00A56EDE"/>
    <w:rsid w:val="00A57729"/>
    <w:rsid w:val="00A57823"/>
    <w:rsid w:val="00A6035F"/>
    <w:rsid w:val="00A60926"/>
    <w:rsid w:val="00A639AD"/>
    <w:rsid w:val="00A648A8"/>
    <w:rsid w:val="00A65002"/>
    <w:rsid w:val="00A6583C"/>
    <w:rsid w:val="00A65C78"/>
    <w:rsid w:val="00A66A7D"/>
    <w:rsid w:val="00A714D3"/>
    <w:rsid w:val="00A74089"/>
    <w:rsid w:val="00A74348"/>
    <w:rsid w:val="00A77BEF"/>
    <w:rsid w:val="00A80CF7"/>
    <w:rsid w:val="00A83658"/>
    <w:rsid w:val="00A840CB"/>
    <w:rsid w:val="00A849FF"/>
    <w:rsid w:val="00A84AFA"/>
    <w:rsid w:val="00A850C6"/>
    <w:rsid w:val="00A85120"/>
    <w:rsid w:val="00A8547C"/>
    <w:rsid w:val="00A86D2A"/>
    <w:rsid w:val="00A87A7F"/>
    <w:rsid w:val="00A87CBC"/>
    <w:rsid w:val="00A9220E"/>
    <w:rsid w:val="00A9346C"/>
    <w:rsid w:val="00A9717D"/>
    <w:rsid w:val="00A97A47"/>
    <w:rsid w:val="00AA11FD"/>
    <w:rsid w:val="00AA279A"/>
    <w:rsid w:val="00AA2B0C"/>
    <w:rsid w:val="00AA3BBE"/>
    <w:rsid w:val="00AA3EF6"/>
    <w:rsid w:val="00AA69F9"/>
    <w:rsid w:val="00AA6E33"/>
    <w:rsid w:val="00AA7185"/>
    <w:rsid w:val="00AB1D2E"/>
    <w:rsid w:val="00AB1E8D"/>
    <w:rsid w:val="00AB1EB4"/>
    <w:rsid w:val="00AB2633"/>
    <w:rsid w:val="00AB27E6"/>
    <w:rsid w:val="00AB5A0C"/>
    <w:rsid w:val="00AB7190"/>
    <w:rsid w:val="00AC1885"/>
    <w:rsid w:val="00AC18B1"/>
    <w:rsid w:val="00AC51E9"/>
    <w:rsid w:val="00AC5902"/>
    <w:rsid w:val="00AC5B01"/>
    <w:rsid w:val="00AC62BD"/>
    <w:rsid w:val="00AC64DF"/>
    <w:rsid w:val="00AC6E9C"/>
    <w:rsid w:val="00AC7733"/>
    <w:rsid w:val="00AC788A"/>
    <w:rsid w:val="00AC7B99"/>
    <w:rsid w:val="00AD0333"/>
    <w:rsid w:val="00AD43D9"/>
    <w:rsid w:val="00AD52B9"/>
    <w:rsid w:val="00AD6654"/>
    <w:rsid w:val="00AD6E16"/>
    <w:rsid w:val="00AD79AC"/>
    <w:rsid w:val="00AE0871"/>
    <w:rsid w:val="00AE230F"/>
    <w:rsid w:val="00AE31DC"/>
    <w:rsid w:val="00AE3922"/>
    <w:rsid w:val="00AE3D43"/>
    <w:rsid w:val="00AE6B7B"/>
    <w:rsid w:val="00AE6DE3"/>
    <w:rsid w:val="00AE71B6"/>
    <w:rsid w:val="00AE76FF"/>
    <w:rsid w:val="00AF0845"/>
    <w:rsid w:val="00AF11C4"/>
    <w:rsid w:val="00AF132F"/>
    <w:rsid w:val="00AF1F53"/>
    <w:rsid w:val="00AF24F2"/>
    <w:rsid w:val="00AF2E69"/>
    <w:rsid w:val="00AF498A"/>
    <w:rsid w:val="00AF5106"/>
    <w:rsid w:val="00AF5222"/>
    <w:rsid w:val="00AF7431"/>
    <w:rsid w:val="00B000E7"/>
    <w:rsid w:val="00B00327"/>
    <w:rsid w:val="00B011A2"/>
    <w:rsid w:val="00B02543"/>
    <w:rsid w:val="00B028F8"/>
    <w:rsid w:val="00B02B96"/>
    <w:rsid w:val="00B0309F"/>
    <w:rsid w:val="00B06AA8"/>
    <w:rsid w:val="00B075EE"/>
    <w:rsid w:val="00B07DED"/>
    <w:rsid w:val="00B11729"/>
    <w:rsid w:val="00B11F3B"/>
    <w:rsid w:val="00B12829"/>
    <w:rsid w:val="00B15471"/>
    <w:rsid w:val="00B168BE"/>
    <w:rsid w:val="00B17C5B"/>
    <w:rsid w:val="00B2017F"/>
    <w:rsid w:val="00B211E9"/>
    <w:rsid w:val="00B213AC"/>
    <w:rsid w:val="00B227FC"/>
    <w:rsid w:val="00B23B41"/>
    <w:rsid w:val="00B27FD1"/>
    <w:rsid w:val="00B312EB"/>
    <w:rsid w:val="00B331B1"/>
    <w:rsid w:val="00B335FC"/>
    <w:rsid w:val="00B33741"/>
    <w:rsid w:val="00B34785"/>
    <w:rsid w:val="00B34D5D"/>
    <w:rsid w:val="00B35BC9"/>
    <w:rsid w:val="00B35DCC"/>
    <w:rsid w:val="00B36E55"/>
    <w:rsid w:val="00B40291"/>
    <w:rsid w:val="00B41CC3"/>
    <w:rsid w:val="00B429DB"/>
    <w:rsid w:val="00B42BFB"/>
    <w:rsid w:val="00B42D09"/>
    <w:rsid w:val="00B44B95"/>
    <w:rsid w:val="00B45567"/>
    <w:rsid w:val="00B4608A"/>
    <w:rsid w:val="00B46FB0"/>
    <w:rsid w:val="00B475B6"/>
    <w:rsid w:val="00B50697"/>
    <w:rsid w:val="00B51B0C"/>
    <w:rsid w:val="00B525F6"/>
    <w:rsid w:val="00B52C64"/>
    <w:rsid w:val="00B54920"/>
    <w:rsid w:val="00B550BE"/>
    <w:rsid w:val="00B55B24"/>
    <w:rsid w:val="00B55C0B"/>
    <w:rsid w:val="00B55E0C"/>
    <w:rsid w:val="00B560C0"/>
    <w:rsid w:val="00B60023"/>
    <w:rsid w:val="00B611CC"/>
    <w:rsid w:val="00B6130D"/>
    <w:rsid w:val="00B62F80"/>
    <w:rsid w:val="00B641C3"/>
    <w:rsid w:val="00B6457A"/>
    <w:rsid w:val="00B64B7F"/>
    <w:rsid w:val="00B66F80"/>
    <w:rsid w:val="00B67687"/>
    <w:rsid w:val="00B67772"/>
    <w:rsid w:val="00B71016"/>
    <w:rsid w:val="00B71DBA"/>
    <w:rsid w:val="00B779C4"/>
    <w:rsid w:val="00B83F21"/>
    <w:rsid w:val="00B85CDC"/>
    <w:rsid w:val="00B877D5"/>
    <w:rsid w:val="00B87C51"/>
    <w:rsid w:val="00B918E3"/>
    <w:rsid w:val="00B91982"/>
    <w:rsid w:val="00B92E0D"/>
    <w:rsid w:val="00B93F7E"/>
    <w:rsid w:val="00B947C8"/>
    <w:rsid w:val="00B974B5"/>
    <w:rsid w:val="00B97A81"/>
    <w:rsid w:val="00BA028C"/>
    <w:rsid w:val="00BA1906"/>
    <w:rsid w:val="00BA203F"/>
    <w:rsid w:val="00BA32B7"/>
    <w:rsid w:val="00BA3E44"/>
    <w:rsid w:val="00BA5283"/>
    <w:rsid w:val="00BA53A4"/>
    <w:rsid w:val="00BA67F0"/>
    <w:rsid w:val="00BA6ADD"/>
    <w:rsid w:val="00BA6EE3"/>
    <w:rsid w:val="00BA7781"/>
    <w:rsid w:val="00BB0664"/>
    <w:rsid w:val="00BB0D37"/>
    <w:rsid w:val="00BB1F8E"/>
    <w:rsid w:val="00BB2B2C"/>
    <w:rsid w:val="00BB39B9"/>
    <w:rsid w:val="00BB63F2"/>
    <w:rsid w:val="00BB6C8F"/>
    <w:rsid w:val="00BB6F1E"/>
    <w:rsid w:val="00BB723F"/>
    <w:rsid w:val="00BC06AC"/>
    <w:rsid w:val="00BC1409"/>
    <w:rsid w:val="00BC1442"/>
    <w:rsid w:val="00BC1A2C"/>
    <w:rsid w:val="00BC27C3"/>
    <w:rsid w:val="00BC33E5"/>
    <w:rsid w:val="00BC539F"/>
    <w:rsid w:val="00BC6309"/>
    <w:rsid w:val="00BC670F"/>
    <w:rsid w:val="00BD0511"/>
    <w:rsid w:val="00BD0EC4"/>
    <w:rsid w:val="00BD2753"/>
    <w:rsid w:val="00BD2C7C"/>
    <w:rsid w:val="00BD2E28"/>
    <w:rsid w:val="00BD2FA8"/>
    <w:rsid w:val="00BD3277"/>
    <w:rsid w:val="00BD37D4"/>
    <w:rsid w:val="00BD3898"/>
    <w:rsid w:val="00BD41A4"/>
    <w:rsid w:val="00BD4539"/>
    <w:rsid w:val="00BD4A0B"/>
    <w:rsid w:val="00BD5085"/>
    <w:rsid w:val="00BD53C5"/>
    <w:rsid w:val="00BD589D"/>
    <w:rsid w:val="00BD7185"/>
    <w:rsid w:val="00BE0468"/>
    <w:rsid w:val="00BE0CE5"/>
    <w:rsid w:val="00BE1992"/>
    <w:rsid w:val="00BE350B"/>
    <w:rsid w:val="00BE41E2"/>
    <w:rsid w:val="00BE569D"/>
    <w:rsid w:val="00BE5AF4"/>
    <w:rsid w:val="00BE5BE2"/>
    <w:rsid w:val="00BE7526"/>
    <w:rsid w:val="00BE77E6"/>
    <w:rsid w:val="00BF069E"/>
    <w:rsid w:val="00BF0C99"/>
    <w:rsid w:val="00BF19CC"/>
    <w:rsid w:val="00BF250C"/>
    <w:rsid w:val="00BF29C5"/>
    <w:rsid w:val="00BF2DBE"/>
    <w:rsid w:val="00BF3F51"/>
    <w:rsid w:val="00BF4F3F"/>
    <w:rsid w:val="00BF5405"/>
    <w:rsid w:val="00BF58B8"/>
    <w:rsid w:val="00C007D0"/>
    <w:rsid w:val="00C02041"/>
    <w:rsid w:val="00C028AE"/>
    <w:rsid w:val="00C02C19"/>
    <w:rsid w:val="00C02F9E"/>
    <w:rsid w:val="00C03ED7"/>
    <w:rsid w:val="00C04303"/>
    <w:rsid w:val="00C06842"/>
    <w:rsid w:val="00C06D43"/>
    <w:rsid w:val="00C07491"/>
    <w:rsid w:val="00C07514"/>
    <w:rsid w:val="00C075AC"/>
    <w:rsid w:val="00C07EC6"/>
    <w:rsid w:val="00C13970"/>
    <w:rsid w:val="00C14FFE"/>
    <w:rsid w:val="00C15C5A"/>
    <w:rsid w:val="00C16E20"/>
    <w:rsid w:val="00C205E5"/>
    <w:rsid w:val="00C20A2C"/>
    <w:rsid w:val="00C21BFD"/>
    <w:rsid w:val="00C21F3E"/>
    <w:rsid w:val="00C2213C"/>
    <w:rsid w:val="00C223CF"/>
    <w:rsid w:val="00C22B55"/>
    <w:rsid w:val="00C22BC3"/>
    <w:rsid w:val="00C23759"/>
    <w:rsid w:val="00C24510"/>
    <w:rsid w:val="00C24DDB"/>
    <w:rsid w:val="00C252A8"/>
    <w:rsid w:val="00C25313"/>
    <w:rsid w:val="00C26A87"/>
    <w:rsid w:val="00C26BF1"/>
    <w:rsid w:val="00C27A01"/>
    <w:rsid w:val="00C27B4D"/>
    <w:rsid w:val="00C305D9"/>
    <w:rsid w:val="00C32764"/>
    <w:rsid w:val="00C33D75"/>
    <w:rsid w:val="00C344E3"/>
    <w:rsid w:val="00C34D38"/>
    <w:rsid w:val="00C35220"/>
    <w:rsid w:val="00C35A92"/>
    <w:rsid w:val="00C35AE8"/>
    <w:rsid w:val="00C36074"/>
    <w:rsid w:val="00C3653B"/>
    <w:rsid w:val="00C413CB"/>
    <w:rsid w:val="00C42060"/>
    <w:rsid w:val="00C42106"/>
    <w:rsid w:val="00C42675"/>
    <w:rsid w:val="00C42BF9"/>
    <w:rsid w:val="00C447C4"/>
    <w:rsid w:val="00C45772"/>
    <w:rsid w:val="00C46186"/>
    <w:rsid w:val="00C462B5"/>
    <w:rsid w:val="00C46396"/>
    <w:rsid w:val="00C46DB5"/>
    <w:rsid w:val="00C4773E"/>
    <w:rsid w:val="00C50179"/>
    <w:rsid w:val="00C51119"/>
    <w:rsid w:val="00C51DA6"/>
    <w:rsid w:val="00C51FF5"/>
    <w:rsid w:val="00C53507"/>
    <w:rsid w:val="00C5359F"/>
    <w:rsid w:val="00C55D24"/>
    <w:rsid w:val="00C56575"/>
    <w:rsid w:val="00C56F1B"/>
    <w:rsid w:val="00C57205"/>
    <w:rsid w:val="00C578AD"/>
    <w:rsid w:val="00C60878"/>
    <w:rsid w:val="00C608C9"/>
    <w:rsid w:val="00C6155B"/>
    <w:rsid w:val="00C6252D"/>
    <w:rsid w:val="00C62BE1"/>
    <w:rsid w:val="00C64190"/>
    <w:rsid w:val="00C64B9F"/>
    <w:rsid w:val="00C659F5"/>
    <w:rsid w:val="00C666EC"/>
    <w:rsid w:val="00C67263"/>
    <w:rsid w:val="00C70A9D"/>
    <w:rsid w:val="00C72FEA"/>
    <w:rsid w:val="00C75421"/>
    <w:rsid w:val="00C758E6"/>
    <w:rsid w:val="00C7679C"/>
    <w:rsid w:val="00C76894"/>
    <w:rsid w:val="00C76E0C"/>
    <w:rsid w:val="00C80016"/>
    <w:rsid w:val="00C805DD"/>
    <w:rsid w:val="00C8089D"/>
    <w:rsid w:val="00C80AF5"/>
    <w:rsid w:val="00C81597"/>
    <w:rsid w:val="00C81D53"/>
    <w:rsid w:val="00C8226A"/>
    <w:rsid w:val="00C82D76"/>
    <w:rsid w:val="00C83DDE"/>
    <w:rsid w:val="00C84EB7"/>
    <w:rsid w:val="00C85244"/>
    <w:rsid w:val="00C8686E"/>
    <w:rsid w:val="00C90736"/>
    <w:rsid w:val="00C90B2D"/>
    <w:rsid w:val="00C91032"/>
    <w:rsid w:val="00C919CD"/>
    <w:rsid w:val="00C935DC"/>
    <w:rsid w:val="00C93763"/>
    <w:rsid w:val="00C93892"/>
    <w:rsid w:val="00C93F49"/>
    <w:rsid w:val="00C9419C"/>
    <w:rsid w:val="00C94DAC"/>
    <w:rsid w:val="00C95894"/>
    <w:rsid w:val="00C96CC7"/>
    <w:rsid w:val="00CA0012"/>
    <w:rsid w:val="00CA1F2D"/>
    <w:rsid w:val="00CA2167"/>
    <w:rsid w:val="00CA2822"/>
    <w:rsid w:val="00CA2891"/>
    <w:rsid w:val="00CA347E"/>
    <w:rsid w:val="00CA42F4"/>
    <w:rsid w:val="00CA47E3"/>
    <w:rsid w:val="00CA4D15"/>
    <w:rsid w:val="00CA57FC"/>
    <w:rsid w:val="00CA6DBA"/>
    <w:rsid w:val="00CA7766"/>
    <w:rsid w:val="00CB0034"/>
    <w:rsid w:val="00CB0F9A"/>
    <w:rsid w:val="00CB1519"/>
    <w:rsid w:val="00CB2DFA"/>
    <w:rsid w:val="00CB303A"/>
    <w:rsid w:val="00CB3F73"/>
    <w:rsid w:val="00CB44DE"/>
    <w:rsid w:val="00CB5C0E"/>
    <w:rsid w:val="00CB6253"/>
    <w:rsid w:val="00CB745D"/>
    <w:rsid w:val="00CB779D"/>
    <w:rsid w:val="00CC045A"/>
    <w:rsid w:val="00CC05ED"/>
    <w:rsid w:val="00CC0867"/>
    <w:rsid w:val="00CC1236"/>
    <w:rsid w:val="00CC231E"/>
    <w:rsid w:val="00CC5C25"/>
    <w:rsid w:val="00CC7371"/>
    <w:rsid w:val="00CC7B76"/>
    <w:rsid w:val="00CD0120"/>
    <w:rsid w:val="00CD1E71"/>
    <w:rsid w:val="00CD240A"/>
    <w:rsid w:val="00CD2558"/>
    <w:rsid w:val="00CD3D2E"/>
    <w:rsid w:val="00CD542E"/>
    <w:rsid w:val="00CD6201"/>
    <w:rsid w:val="00CD75A5"/>
    <w:rsid w:val="00CD78ED"/>
    <w:rsid w:val="00CE03F0"/>
    <w:rsid w:val="00CE24D7"/>
    <w:rsid w:val="00CE2742"/>
    <w:rsid w:val="00CE2B2A"/>
    <w:rsid w:val="00CE3073"/>
    <w:rsid w:val="00CE3AC6"/>
    <w:rsid w:val="00CE3BB8"/>
    <w:rsid w:val="00CE4436"/>
    <w:rsid w:val="00CE44E4"/>
    <w:rsid w:val="00CE5861"/>
    <w:rsid w:val="00CE634E"/>
    <w:rsid w:val="00CE6A5A"/>
    <w:rsid w:val="00CE7EED"/>
    <w:rsid w:val="00CF2880"/>
    <w:rsid w:val="00CF304A"/>
    <w:rsid w:val="00CF33F0"/>
    <w:rsid w:val="00CF515A"/>
    <w:rsid w:val="00CF5176"/>
    <w:rsid w:val="00CF543F"/>
    <w:rsid w:val="00CF6C77"/>
    <w:rsid w:val="00CF6E6E"/>
    <w:rsid w:val="00CF7F0F"/>
    <w:rsid w:val="00D02900"/>
    <w:rsid w:val="00D029D5"/>
    <w:rsid w:val="00D02FBF"/>
    <w:rsid w:val="00D03116"/>
    <w:rsid w:val="00D031E7"/>
    <w:rsid w:val="00D03E4B"/>
    <w:rsid w:val="00D04A68"/>
    <w:rsid w:val="00D05611"/>
    <w:rsid w:val="00D07652"/>
    <w:rsid w:val="00D07823"/>
    <w:rsid w:val="00D07A71"/>
    <w:rsid w:val="00D1016C"/>
    <w:rsid w:val="00D10B5A"/>
    <w:rsid w:val="00D11B59"/>
    <w:rsid w:val="00D12195"/>
    <w:rsid w:val="00D130AE"/>
    <w:rsid w:val="00D13571"/>
    <w:rsid w:val="00D136D7"/>
    <w:rsid w:val="00D16F48"/>
    <w:rsid w:val="00D16F95"/>
    <w:rsid w:val="00D21606"/>
    <w:rsid w:val="00D21B8E"/>
    <w:rsid w:val="00D21C2E"/>
    <w:rsid w:val="00D21CD3"/>
    <w:rsid w:val="00D23B48"/>
    <w:rsid w:val="00D24EAA"/>
    <w:rsid w:val="00D2596A"/>
    <w:rsid w:val="00D25F53"/>
    <w:rsid w:val="00D279F9"/>
    <w:rsid w:val="00D27EA2"/>
    <w:rsid w:val="00D30E8B"/>
    <w:rsid w:val="00D32597"/>
    <w:rsid w:val="00D32F7A"/>
    <w:rsid w:val="00D36083"/>
    <w:rsid w:val="00D3748C"/>
    <w:rsid w:val="00D4021F"/>
    <w:rsid w:val="00D40C57"/>
    <w:rsid w:val="00D40F61"/>
    <w:rsid w:val="00D427F8"/>
    <w:rsid w:val="00D42A56"/>
    <w:rsid w:val="00D431D7"/>
    <w:rsid w:val="00D4607A"/>
    <w:rsid w:val="00D470BB"/>
    <w:rsid w:val="00D472BB"/>
    <w:rsid w:val="00D503A9"/>
    <w:rsid w:val="00D504FF"/>
    <w:rsid w:val="00D5064B"/>
    <w:rsid w:val="00D52450"/>
    <w:rsid w:val="00D52D09"/>
    <w:rsid w:val="00D54A6F"/>
    <w:rsid w:val="00D54DFA"/>
    <w:rsid w:val="00D55DDF"/>
    <w:rsid w:val="00D56CF9"/>
    <w:rsid w:val="00D574A6"/>
    <w:rsid w:val="00D6032B"/>
    <w:rsid w:val="00D616DB"/>
    <w:rsid w:val="00D61BC9"/>
    <w:rsid w:val="00D62428"/>
    <w:rsid w:val="00D627D4"/>
    <w:rsid w:val="00D62BAD"/>
    <w:rsid w:val="00D631C5"/>
    <w:rsid w:val="00D63E16"/>
    <w:rsid w:val="00D64229"/>
    <w:rsid w:val="00D64429"/>
    <w:rsid w:val="00D64809"/>
    <w:rsid w:val="00D661B4"/>
    <w:rsid w:val="00D6673D"/>
    <w:rsid w:val="00D66E90"/>
    <w:rsid w:val="00D670AC"/>
    <w:rsid w:val="00D676F8"/>
    <w:rsid w:val="00D67B65"/>
    <w:rsid w:val="00D67B74"/>
    <w:rsid w:val="00D70EF1"/>
    <w:rsid w:val="00D71CB2"/>
    <w:rsid w:val="00D71CC7"/>
    <w:rsid w:val="00D75643"/>
    <w:rsid w:val="00D779B8"/>
    <w:rsid w:val="00D800E9"/>
    <w:rsid w:val="00D8020A"/>
    <w:rsid w:val="00D8119B"/>
    <w:rsid w:val="00D8239E"/>
    <w:rsid w:val="00D82791"/>
    <w:rsid w:val="00D839FC"/>
    <w:rsid w:val="00D847F1"/>
    <w:rsid w:val="00D84FF3"/>
    <w:rsid w:val="00D85DFA"/>
    <w:rsid w:val="00D87A31"/>
    <w:rsid w:val="00D87AA2"/>
    <w:rsid w:val="00D901AF"/>
    <w:rsid w:val="00D90B2D"/>
    <w:rsid w:val="00D91F84"/>
    <w:rsid w:val="00D924D2"/>
    <w:rsid w:val="00D928C2"/>
    <w:rsid w:val="00D93782"/>
    <w:rsid w:val="00D95DA8"/>
    <w:rsid w:val="00D95FC0"/>
    <w:rsid w:val="00D966A8"/>
    <w:rsid w:val="00D97984"/>
    <w:rsid w:val="00D979B1"/>
    <w:rsid w:val="00DA114E"/>
    <w:rsid w:val="00DA18CE"/>
    <w:rsid w:val="00DA1A54"/>
    <w:rsid w:val="00DA2CA2"/>
    <w:rsid w:val="00DA4487"/>
    <w:rsid w:val="00DA4E4D"/>
    <w:rsid w:val="00DA6872"/>
    <w:rsid w:val="00DA69CB"/>
    <w:rsid w:val="00DA6BAA"/>
    <w:rsid w:val="00DA6C00"/>
    <w:rsid w:val="00DA7277"/>
    <w:rsid w:val="00DB05A7"/>
    <w:rsid w:val="00DB1D44"/>
    <w:rsid w:val="00DB2C26"/>
    <w:rsid w:val="00DB3C22"/>
    <w:rsid w:val="00DB4D5D"/>
    <w:rsid w:val="00DB4DE1"/>
    <w:rsid w:val="00DB5098"/>
    <w:rsid w:val="00DB5636"/>
    <w:rsid w:val="00DB6885"/>
    <w:rsid w:val="00DB6B38"/>
    <w:rsid w:val="00DB6BD9"/>
    <w:rsid w:val="00DB795B"/>
    <w:rsid w:val="00DC02E7"/>
    <w:rsid w:val="00DC2614"/>
    <w:rsid w:val="00DC296C"/>
    <w:rsid w:val="00DC47F2"/>
    <w:rsid w:val="00DC5737"/>
    <w:rsid w:val="00DC6E7F"/>
    <w:rsid w:val="00DC6F1F"/>
    <w:rsid w:val="00DC70DC"/>
    <w:rsid w:val="00DC796D"/>
    <w:rsid w:val="00DD010E"/>
    <w:rsid w:val="00DD0C3E"/>
    <w:rsid w:val="00DD18ED"/>
    <w:rsid w:val="00DD2166"/>
    <w:rsid w:val="00DD2325"/>
    <w:rsid w:val="00DD3945"/>
    <w:rsid w:val="00DD3D17"/>
    <w:rsid w:val="00DE1FDE"/>
    <w:rsid w:val="00DE2D4A"/>
    <w:rsid w:val="00DE45A1"/>
    <w:rsid w:val="00DE4E4B"/>
    <w:rsid w:val="00DE6CA3"/>
    <w:rsid w:val="00DE748B"/>
    <w:rsid w:val="00DF0208"/>
    <w:rsid w:val="00DF09E4"/>
    <w:rsid w:val="00DF169E"/>
    <w:rsid w:val="00DF1918"/>
    <w:rsid w:val="00DF29ED"/>
    <w:rsid w:val="00DF34BD"/>
    <w:rsid w:val="00DF3CAB"/>
    <w:rsid w:val="00DF4A4B"/>
    <w:rsid w:val="00DF4C45"/>
    <w:rsid w:val="00DF5404"/>
    <w:rsid w:val="00DF5DA0"/>
    <w:rsid w:val="00DF5F23"/>
    <w:rsid w:val="00DF695A"/>
    <w:rsid w:val="00E007C4"/>
    <w:rsid w:val="00E0150E"/>
    <w:rsid w:val="00E0264A"/>
    <w:rsid w:val="00E02F2B"/>
    <w:rsid w:val="00E051D3"/>
    <w:rsid w:val="00E0618A"/>
    <w:rsid w:val="00E06776"/>
    <w:rsid w:val="00E072FF"/>
    <w:rsid w:val="00E073B9"/>
    <w:rsid w:val="00E074B7"/>
    <w:rsid w:val="00E10750"/>
    <w:rsid w:val="00E10F93"/>
    <w:rsid w:val="00E12710"/>
    <w:rsid w:val="00E13EF6"/>
    <w:rsid w:val="00E15BEB"/>
    <w:rsid w:val="00E15C49"/>
    <w:rsid w:val="00E202F6"/>
    <w:rsid w:val="00E20462"/>
    <w:rsid w:val="00E20776"/>
    <w:rsid w:val="00E208B8"/>
    <w:rsid w:val="00E20E03"/>
    <w:rsid w:val="00E2116A"/>
    <w:rsid w:val="00E212BD"/>
    <w:rsid w:val="00E215CF"/>
    <w:rsid w:val="00E21D2B"/>
    <w:rsid w:val="00E22CAB"/>
    <w:rsid w:val="00E2445E"/>
    <w:rsid w:val="00E2584E"/>
    <w:rsid w:val="00E25A8F"/>
    <w:rsid w:val="00E25C7A"/>
    <w:rsid w:val="00E268A2"/>
    <w:rsid w:val="00E27CC0"/>
    <w:rsid w:val="00E3082F"/>
    <w:rsid w:val="00E309BD"/>
    <w:rsid w:val="00E32283"/>
    <w:rsid w:val="00E3293B"/>
    <w:rsid w:val="00E3319E"/>
    <w:rsid w:val="00E33E7F"/>
    <w:rsid w:val="00E34113"/>
    <w:rsid w:val="00E35AA3"/>
    <w:rsid w:val="00E35AE0"/>
    <w:rsid w:val="00E374BF"/>
    <w:rsid w:val="00E378C2"/>
    <w:rsid w:val="00E40591"/>
    <w:rsid w:val="00E41F97"/>
    <w:rsid w:val="00E423D5"/>
    <w:rsid w:val="00E434AA"/>
    <w:rsid w:val="00E43766"/>
    <w:rsid w:val="00E43934"/>
    <w:rsid w:val="00E44285"/>
    <w:rsid w:val="00E444A3"/>
    <w:rsid w:val="00E4520F"/>
    <w:rsid w:val="00E46284"/>
    <w:rsid w:val="00E5008D"/>
    <w:rsid w:val="00E5159C"/>
    <w:rsid w:val="00E51875"/>
    <w:rsid w:val="00E51CBF"/>
    <w:rsid w:val="00E5321E"/>
    <w:rsid w:val="00E53E37"/>
    <w:rsid w:val="00E54309"/>
    <w:rsid w:val="00E57CCB"/>
    <w:rsid w:val="00E57F8C"/>
    <w:rsid w:val="00E60DA6"/>
    <w:rsid w:val="00E6116F"/>
    <w:rsid w:val="00E6151F"/>
    <w:rsid w:val="00E61E49"/>
    <w:rsid w:val="00E62052"/>
    <w:rsid w:val="00E62940"/>
    <w:rsid w:val="00E62C64"/>
    <w:rsid w:val="00E64281"/>
    <w:rsid w:val="00E65CD1"/>
    <w:rsid w:val="00E66199"/>
    <w:rsid w:val="00E67207"/>
    <w:rsid w:val="00E6774E"/>
    <w:rsid w:val="00E717D5"/>
    <w:rsid w:val="00E718DF"/>
    <w:rsid w:val="00E72296"/>
    <w:rsid w:val="00E72E2F"/>
    <w:rsid w:val="00E73EC8"/>
    <w:rsid w:val="00E75E32"/>
    <w:rsid w:val="00E767F3"/>
    <w:rsid w:val="00E76A9A"/>
    <w:rsid w:val="00E76D06"/>
    <w:rsid w:val="00E775B8"/>
    <w:rsid w:val="00E80033"/>
    <w:rsid w:val="00E811C9"/>
    <w:rsid w:val="00E812BA"/>
    <w:rsid w:val="00E81D54"/>
    <w:rsid w:val="00E8318A"/>
    <w:rsid w:val="00E8373D"/>
    <w:rsid w:val="00E83A77"/>
    <w:rsid w:val="00E84A73"/>
    <w:rsid w:val="00E84AAE"/>
    <w:rsid w:val="00E857BA"/>
    <w:rsid w:val="00E85A17"/>
    <w:rsid w:val="00E862B1"/>
    <w:rsid w:val="00E8633D"/>
    <w:rsid w:val="00E86705"/>
    <w:rsid w:val="00E86877"/>
    <w:rsid w:val="00E86C83"/>
    <w:rsid w:val="00E87B4D"/>
    <w:rsid w:val="00E87E0C"/>
    <w:rsid w:val="00E90358"/>
    <w:rsid w:val="00E9213D"/>
    <w:rsid w:val="00E92590"/>
    <w:rsid w:val="00E9267E"/>
    <w:rsid w:val="00E95D6E"/>
    <w:rsid w:val="00E9757B"/>
    <w:rsid w:val="00EA53DF"/>
    <w:rsid w:val="00EA56E5"/>
    <w:rsid w:val="00EA6E6B"/>
    <w:rsid w:val="00EA708A"/>
    <w:rsid w:val="00EB0784"/>
    <w:rsid w:val="00EB0A5B"/>
    <w:rsid w:val="00EB0A6D"/>
    <w:rsid w:val="00EB2195"/>
    <w:rsid w:val="00EB2F4B"/>
    <w:rsid w:val="00EB3DB3"/>
    <w:rsid w:val="00EB415B"/>
    <w:rsid w:val="00EB5742"/>
    <w:rsid w:val="00EB5D19"/>
    <w:rsid w:val="00EB5F75"/>
    <w:rsid w:val="00EC01A8"/>
    <w:rsid w:val="00EC0B6E"/>
    <w:rsid w:val="00EC3C32"/>
    <w:rsid w:val="00EC487D"/>
    <w:rsid w:val="00EC59FB"/>
    <w:rsid w:val="00EC5C53"/>
    <w:rsid w:val="00EC6B07"/>
    <w:rsid w:val="00EC6F6C"/>
    <w:rsid w:val="00EC70E3"/>
    <w:rsid w:val="00EC7826"/>
    <w:rsid w:val="00ED1921"/>
    <w:rsid w:val="00ED1E8F"/>
    <w:rsid w:val="00ED4147"/>
    <w:rsid w:val="00ED4E88"/>
    <w:rsid w:val="00ED6A94"/>
    <w:rsid w:val="00ED7853"/>
    <w:rsid w:val="00ED7F75"/>
    <w:rsid w:val="00EE0CAA"/>
    <w:rsid w:val="00EE13F6"/>
    <w:rsid w:val="00EE5BBD"/>
    <w:rsid w:val="00EE647E"/>
    <w:rsid w:val="00EF2B79"/>
    <w:rsid w:val="00EF5136"/>
    <w:rsid w:val="00EF5289"/>
    <w:rsid w:val="00EF7615"/>
    <w:rsid w:val="00EF7ED8"/>
    <w:rsid w:val="00EF7EE8"/>
    <w:rsid w:val="00F038C7"/>
    <w:rsid w:val="00F03CD0"/>
    <w:rsid w:val="00F05847"/>
    <w:rsid w:val="00F07A78"/>
    <w:rsid w:val="00F07E20"/>
    <w:rsid w:val="00F102D8"/>
    <w:rsid w:val="00F104C7"/>
    <w:rsid w:val="00F10CE9"/>
    <w:rsid w:val="00F11184"/>
    <w:rsid w:val="00F1119D"/>
    <w:rsid w:val="00F1295F"/>
    <w:rsid w:val="00F13A20"/>
    <w:rsid w:val="00F144F9"/>
    <w:rsid w:val="00F16BEE"/>
    <w:rsid w:val="00F16BFE"/>
    <w:rsid w:val="00F16D33"/>
    <w:rsid w:val="00F17143"/>
    <w:rsid w:val="00F17712"/>
    <w:rsid w:val="00F17C16"/>
    <w:rsid w:val="00F220D8"/>
    <w:rsid w:val="00F221C9"/>
    <w:rsid w:val="00F24676"/>
    <w:rsid w:val="00F250D9"/>
    <w:rsid w:val="00F26BD2"/>
    <w:rsid w:val="00F31147"/>
    <w:rsid w:val="00F32004"/>
    <w:rsid w:val="00F32185"/>
    <w:rsid w:val="00F329A0"/>
    <w:rsid w:val="00F32CF0"/>
    <w:rsid w:val="00F367A0"/>
    <w:rsid w:val="00F373DA"/>
    <w:rsid w:val="00F4056B"/>
    <w:rsid w:val="00F40B1E"/>
    <w:rsid w:val="00F42995"/>
    <w:rsid w:val="00F43C5C"/>
    <w:rsid w:val="00F43C92"/>
    <w:rsid w:val="00F43EE2"/>
    <w:rsid w:val="00F445A0"/>
    <w:rsid w:val="00F50F4F"/>
    <w:rsid w:val="00F513B3"/>
    <w:rsid w:val="00F518CB"/>
    <w:rsid w:val="00F525C6"/>
    <w:rsid w:val="00F528C0"/>
    <w:rsid w:val="00F53716"/>
    <w:rsid w:val="00F55362"/>
    <w:rsid w:val="00F55F4D"/>
    <w:rsid w:val="00F5672C"/>
    <w:rsid w:val="00F576BF"/>
    <w:rsid w:val="00F60512"/>
    <w:rsid w:val="00F60D27"/>
    <w:rsid w:val="00F62B17"/>
    <w:rsid w:val="00F62BC7"/>
    <w:rsid w:val="00F62DE9"/>
    <w:rsid w:val="00F63353"/>
    <w:rsid w:val="00F6465F"/>
    <w:rsid w:val="00F650FF"/>
    <w:rsid w:val="00F65900"/>
    <w:rsid w:val="00F67673"/>
    <w:rsid w:val="00F676D9"/>
    <w:rsid w:val="00F67CB8"/>
    <w:rsid w:val="00F713E8"/>
    <w:rsid w:val="00F72B10"/>
    <w:rsid w:val="00F72EF8"/>
    <w:rsid w:val="00F73411"/>
    <w:rsid w:val="00F73DA2"/>
    <w:rsid w:val="00F73E68"/>
    <w:rsid w:val="00F7404C"/>
    <w:rsid w:val="00F753F2"/>
    <w:rsid w:val="00F82024"/>
    <w:rsid w:val="00F842D6"/>
    <w:rsid w:val="00F8647B"/>
    <w:rsid w:val="00F868B0"/>
    <w:rsid w:val="00F8710C"/>
    <w:rsid w:val="00F87C58"/>
    <w:rsid w:val="00F9021A"/>
    <w:rsid w:val="00F93B02"/>
    <w:rsid w:val="00F947A0"/>
    <w:rsid w:val="00F94A48"/>
    <w:rsid w:val="00F95751"/>
    <w:rsid w:val="00F9636B"/>
    <w:rsid w:val="00F96DA6"/>
    <w:rsid w:val="00FA0511"/>
    <w:rsid w:val="00FA1975"/>
    <w:rsid w:val="00FA2040"/>
    <w:rsid w:val="00FA3056"/>
    <w:rsid w:val="00FA43DE"/>
    <w:rsid w:val="00FA47AE"/>
    <w:rsid w:val="00FA4802"/>
    <w:rsid w:val="00FA62C1"/>
    <w:rsid w:val="00FB0CFE"/>
    <w:rsid w:val="00FB2752"/>
    <w:rsid w:val="00FB2886"/>
    <w:rsid w:val="00FB2E7E"/>
    <w:rsid w:val="00FB32BD"/>
    <w:rsid w:val="00FB3D91"/>
    <w:rsid w:val="00FB5685"/>
    <w:rsid w:val="00FB5781"/>
    <w:rsid w:val="00FB58FA"/>
    <w:rsid w:val="00FB5E36"/>
    <w:rsid w:val="00FB60FB"/>
    <w:rsid w:val="00FB6F9D"/>
    <w:rsid w:val="00FC5589"/>
    <w:rsid w:val="00FC71A7"/>
    <w:rsid w:val="00FD070D"/>
    <w:rsid w:val="00FD165A"/>
    <w:rsid w:val="00FD1A03"/>
    <w:rsid w:val="00FD1C42"/>
    <w:rsid w:val="00FD1F94"/>
    <w:rsid w:val="00FD3BB1"/>
    <w:rsid w:val="00FD408D"/>
    <w:rsid w:val="00FD4D9E"/>
    <w:rsid w:val="00FD5266"/>
    <w:rsid w:val="00FD6711"/>
    <w:rsid w:val="00FD71E8"/>
    <w:rsid w:val="00FD7ECD"/>
    <w:rsid w:val="00FE1490"/>
    <w:rsid w:val="00FE1F4F"/>
    <w:rsid w:val="00FE1FF1"/>
    <w:rsid w:val="00FE20B7"/>
    <w:rsid w:val="00FE223D"/>
    <w:rsid w:val="00FE3362"/>
    <w:rsid w:val="00FE3A0F"/>
    <w:rsid w:val="00FE3A54"/>
    <w:rsid w:val="00FE511B"/>
    <w:rsid w:val="00FE5357"/>
    <w:rsid w:val="00FE55A9"/>
    <w:rsid w:val="00FE5E89"/>
    <w:rsid w:val="00FE66D5"/>
    <w:rsid w:val="00FE6DD9"/>
    <w:rsid w:val="00FE7709"/>
    <w:rsid w:val="00FF0315"/>
    <w:rsid w:val="00FF1AA6"/>
    <w:rsid w:val="00FF3FA0"/>
    <w:rsid w:val="00FF41D6"/>
    <w:rsid w:val="00FF481B"/>
    <w:rsid w:val="00FF4E8A"/>
    <w:rsid w:val="00FF59AF"/>
    <w:rsid w:val="00FF59C6"/>
    <w:rsid w:val="00FF59CD"/>
    <w:rsid w:val="00FF6716"/>
    <w:rsid w:val="00FF79B6"/>
    <w:rsid w:val="00FF7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caption" w:locked="1" w:semiHidden="1" w:unhideWhenUsed="1" w:qFormat="1"/>
    <w:lsdException w:name="footnote reference" w:uiPriority="99"/>
    <w:lsdException w:name="page number" w:locked="1"/>
    <w:lsdException w:name="Title" w:locked="1" w:qFormat="1"/>
    <w:lsdException w:name="Default Paragraph Font" w:locked="1"/>
    <w:lsdException w:name="Body Text" w:locked="1"/>
    <w:lsdException w:name="Subtitle" w:locked="1" w:qFormat="1"/>
    <w:lsdException w:name="FollowedHyperlink" w:locked="1"/>
    <w:lsdException w:name="Strong" w:locked="1" w:qFormat="1"/>
    <w:lsdException w:name="Emphasis" w:locked="1" w:qFormat="1"/>
    <w:lsdException w:name="Normal (Web)" w:uiPriority="99"/>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10B5E"/>
    <w:pPr>
      <w:snapToGrid w:val="0"/>
      <w:spacing w:after="120"/>
      <w:jc w:val="both"/>
    </w:pPr>
    <w:rPr>
      <w:rFonts w:eastAsia="MS Mincho"/>
      <w:sz w:val="22"/>
      <w:szCs w:val="22"/>
      <w:lang w:val="en-GB"/>
    </w:rPr>
  </w:style>
  <w:style w:type="paragraph" w:styleId="Heading1">
    <w:name w:val="heading 1"/>
    <w:basedOn w:val="Normal"/>
    <w:next w:val="Normal"/>
    <w:link w:val="Heading1Char"/>
    <w:uiPriority w:val="9"/>
    <w:qFormat/>
    <w:rsid w:val="004555C9"/>
    <w:pPr>
      <w:keepNext/>
      <w:numPr>
        <w:numId w:val="3"/>
      </w:numPr>
      <w:spacing w:after="240"/>
      <w:jc w:val="left"/>
      <w:outlineLvl w:val="0"/>
    </w:pPr>
    <w:rPr>
      <w:rFonts w:ascii="Lucida Sans" w:eastAsia="MS Gothic" w:hAnsi="Lucida Sans"/>
      <w:b/>
      <w:bCs/>
      <w:color w:val="4F81BD"/>
      <w:kern w:val="32"/>
      <w:sz w:val="28"/>
    </w:rPr>
  </w:style>
  <w:style w:type="paragraph" w:styleId="Heading2">
    <w:name w:val="heading 2"/>
    <w:basedOn w:val="Heading1"/>
    <w:next w:val="Normal"/>
    <w:link w:val="Heading2Char"/>
    <w:uiPriority w:val="9"/>
    <w:qFormat/>
    <w:rsid w:val="00783D24"/>
    <w:pPr>
      <w:numPr>
        <w:ilvl w:val="1"/>
      </w:numPr>
      <w:outlineLvl w:val="1"/>
    </w:pPr>
    <w:rPr>
      <w:sz w:val="24"/>
      <w:szCs w:val="24"/>
    </w:rPr>
  </w:style>
  <w:style w:type="paragraph" w:styleId="Heading3">
    <w:name w:val="heading 3"/>
    <w:basedOn w:val="Heading2"/>
    <w:next w:val="Normal"/>
    <w:link w:val="Heading3Char"/>
    <w:uiPriority w:val="9"/>
    <w:qFormat/>
    <w:rsid w:val="00783D24"/>
    <w:pPr>
      <w:numPr>
        <w:ilvl w:val="2"/>
      </w:numPr>
      <w:outlineLvl w:val="2"/>
    </w:pPr>
    <w:rPr>
      <w:b w:val="0"/>
    </w:rPr>
  </w:style>
  <w:style w:type="paragraph" w:styleId="Heading4">
    <w:name w:val="heading 4"/>
    <w:basedOn w:val="Heading2"/>
    <w:next w:val="Normal"/>
    <w:link w:val="Heading4Char"/>
    <w:qFormat/>
    <w:rsid w:val="00783D24"/>
    <w:pPr>
      <w:numPr>
        <w:ilvl w:val="0"/>
        <w:numId w:val="0"/>
      </w:numPr>
      <w:ind w:left="576" w:hanging="576"/>
      <w:outlineLvl w:val="3"/>
    </w:pPr>
    <w:rPr>
      <w:b w:val="0"/>
      <w:i/>
    </w:rPr>
  </w:style>
  <w:style w:type="paragraph" w:styleId="Heading5">
    <w:name w:val="heading 5"/>
    <w:basedOn w:val="Normal"/>
    <w:next w:val="Normal"/>
    <w:link w:val="Heading5Char"/>
    <w:uiPriority w:val="9"/>
    <w:qFormat/>
    <w:rsid w:val="00360AF1"/>
    <w:pPr>
      <w:keepNext/>
      <w:keepLines/>
      <w:numPr>
        <w:ilvl w:val="4"/>
        <w:numId w:val="3"/>
      </w:numPr>
      <w:spacing w:before="200" w:after="0"/>
      <w:outlineLvl w:val="4"/>
    </w:pPr>
    <w:rPr>
      <w:rFonts w:ascii="Cambria" w:eastAsia="Calibri" w:hAnsi="Cambria"/>
      <w:color w:val="243F60"/>
    </w:rPr>
  </w:style>
  <w:style w:type="paragraph" w:styleId="Heading6">
    <w:name w:val="heading 6"/>
    <w:basedOn w:val="Normal"/>
    <w:next w:val="Normal"/>
    <w:link w:val="Heading6Char"/>
    <w:uiPriority w:val="9"/>
    <w:qFormat/>
    <w:rsid w:val="00360AF1"/>
    <w:pPr>
      <w:keepNext/>
      <w:keepLines/>
      <w:numPr>
        <w:ilvl w:val="5"/>
        <w:numId w:val="3"/>
      </w:numPr>
      <w:spacing w:before="200" w:after="0"/>
      <w:outlineLvl w:val="5"/>
    </w:pPr>
    <w:rPr>
      <w:rFonts w:ascii="Cambria" w:eastAsia="Calibri" w:hAnsi="Cambria"/>
      <w:i/>
      <w:iCs/>
      <w:color w:val="243F60"/>
    </w:rPr>
  </w:style>
  <w:style w:type="paragraph" w:styleId="Heading7">
    <w:name w:val="heading 7"/>
    <w:basedOn w:val="Normal"/>
    <w:next w:val="Normal"/>
    <w:link w:val="Heading7Char"/>
    <w:uiPriority w:val="9"/>
    <w:qFormat/>
    <w:rsid w:val="00360AF1"/>
    <w:pPr>
      <w:keepNext/>
      <w:keepLines/>
      <w:numPr>
        <w:ilvl w:val="6"/>
        <w:numId w:val="3"/>
      </w:numPr>
      <w:spacing w:before="200" w:after="0"/>
      <w:outlineLvl w:val="6"/>
    </w:pPr>
    <w:rPr>
      <w:rFonts w:ascii="Cambria" w:eastAsia="Calibri" w:hAnsi="Cambria"/>
      <w:i/>
      <w:iCs/>
      <w:color w:val="404040"/>
    </w:rPr>
  </w:style>
  <w:style w:type="paragraph" w:styleId="Heading8">
    <w:name w:val="heading 8"/>
    <w:basedOn w:val="Normal"/>
    <w:next w:val="Normal"/>
    <w:link w:val="Heading8Char"/>
    <w:uiPriority w:val="9"/>
    <w:qFormat/>
    <w:rsid w:val="00360AF1"/>
    <w:pPr>
      <w:keepNext/>
      <w:keepLines/>
      <w:numPr>
        <w:ilvl w:val="7"/>
        <w:numId w:val="3"/>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uiPriority w:val="9"/>
    <w:qFormat/>
    <w:rsid w:val="00360AF1"/>
    <w:pPr>
      <w:keepNext/>
      <w:keepLines/>
      <w:numPr>
        <w:ilvl w:val="8"/>
        <w:numId w:val="3"/>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555C9"/>
    <w:rPr>
      <w:rFonts w:ascii="Lucida Sans" w:eastAsia="MS Gothic" w:hAnsi="Lucida Sans"/>
      <w:b/>
      <w:bCs/>
      <w:color w:val="4F81BD"/>
      <w:kern w:val="32"/>
      <w:sz w:val="28"/>
      <w:szCs w:val="22"/>
      <w:lang w:val="en-GB" w:eastAsia="en-US" w:bidi="ar-SA"/>
    </w:rPr>
  </w:style>
  <w:style w:type="character" w:customStyle="1" w:styleId="Heading2Char">
    <w:name w:val="Heading 2 Char"/>
    <w:basedOn w:val="DefaultParagraphFont"/>
    <w:link w:val="Heading2"/>
    <w:locked/>
    <w:rsid w:val="00783D24"/>
    <w:rPr>
      <w:rFonts w:ascii="Lucida Sans" w:eastAsia="MS Gothic" w:hAnsi="Lucida Sans"/>
      <w:b/>
      <w:bCs/>
      <w:color w:val="4F81BD"/>
      <w:kern w:val="32"/>
      <w:sz w:val="24"/>
      <w:szCs w:val="24"/>
      <w:lang w:val="en-GB" w:eastAsia="en-US" w:bidi="ar-SA"/>
    </w:rPr>
  </w:style>
  <w:style w:type="character" w:customStyle="1" w:styleId="Heading3Char">
    <w:name w:val="Heading 3 Char"/>
    <w:basedOn w:val="DefaultParagraphFont"/>
    <w:link w:val="Heading3"/>
    <w:locked/>
    <w:rsid w:val="00783D24"/>
    <w:rPr>
      <w:rFonts w:ascii="Lucida Sans" w:eastAsia="MS Gothic" w:hAnsi="Lucida Sans"/>
      <w:bCs/>
      <w:color w:val="4F81BD"/>
      <w:kern w:val="32"/>
      <w:sz w:val="24"/>
      <w:szCs w:val="24"/>
      <w:lang w:val="en-GB" w:eastAsia="en-US" w:bidi="ar-SA"/>
    </w:rPr>
  </w:style>
  <w:style w:type="character" w:customStyle="1" w:styleId="Heading4Char">
    <w:name w:val="Heading 4 Char"/>
    <w:basedOn w:val="DefaultParagraphFont"/>
    <w:link w:val="Heading4"/>
    <w:locked/>
    <w:rsid w:val="00783D24"/>
    <w:rPr>
      <w:rFonts w:ascii="Lucida Sans" w:eastAsia="MS Gothic" w:hAnsi="Lucida Sans" w:cs="Times New Roman"/>
      <w:bCs/>
      <w:i/>
      <w:color w:val="4F81BD"/>
      <w:kern w:val="32"/>
      <w:sz w:val="24"/>
      <w:szCs w:val="24"/>
      <w:lang w:val="en-GB" w:eastAsia="en-US"/>
    </w:rPr>
  </w:style>
  <w:style w:type="character" w:customStyle="1" w:styleId="Heading5Char">
    <w:name w:val="Heading 5 Char"/>
    <w:basedOn w:val="DefaultParagraphFont"/>
    <w:link w:val="Heading5"/>
    <w:semiHidden/>
    <w:locked/>
    <w:rsid w:val="00360AF1"/>
    <w:rPr>
      <w:rFonts w:ascii="Cambria" w:eastAsia="Calibri" w:hAnsi="Cambria"/>
      <w:color w:val="243F60"/>
      <w:sz w:val="22"/>
      <w:szCs w:val="22"/>
      <w:lang w:val="en-GB" w:eastAsia="en-US" w:bidi="ar-SA"/>
    </w:rPr>
  </w:style>
  <w:style w:type="character" w:customStyle="1" w:styleId="Heading6Char">
    <w:name w:val="Heading 6 Char"/>
    <w:basedOn w:val="DefaultParagraphFont"/>
    <w:link w:val="Heading6"/>
    <w:semiHidden/>
    <w:locked/>
    <w:rsid w:val="00360AF1"/>
    <w:rPr>
      <w:rFonts w:ascii="Cambria" w:eastAsia="Calibri" w:hAnsi="Cambria"/>
      <w:i/>
      <w:iCs/>
      <w:color w:val="243F60"/>
      <w:sz w:val="22"/>
      <w:szCs w:val="22"/>
      <w:lang w:val="en-GB" w:eastAsia="en-US" w:bidi="ar-SA"/>
    </w:rPr>
  </w:style>
  <w:style w:type="character" w:customStyle="1" w:styleId="Heading7Char">
    <w:name w:val="Heading 7 Char"/>
    <w:basedOn w:val="DefaultParagraphFont"/>
    <w:link w:val="Heading7"/>
    <w:semiHidden/>
    <w:locked/>
    <w:rsid w:val="00360AF1"/>
    <w:rPr>
      <w:rFonts w:ascii="Cambria" w:eastAsia="Calibri" w:hAnsi="Cambria"/>
      <w:i/>
      <w:iCs/>
      <w:color w:val="404040"/>
      <w:sz w:val="22"/>
      <w:szCs w:val="22"/>
      <w:lang w:val="en-GB" w:eastAsia="en-US" w:bidi="ar-SA"/>
    </w:rPr>
  </w:style>
  <w:style w:type="character" w:customStyle="1" w:styleId="Heading8Char">
    <w:name w:val="Heading 8 Char"/>
    <w:basedOn w:val="DefaultParagraphFont"/>
    <w:link w:val="Heading8"/>
    <w:semiHidden/>
    <w:locked/>
    <w:rsid w:val="00360AF1"/>
    <w:rPr>
      <w:rFonts w:ascii="Cambria" w:eastAsia="Calibri" w:hAnsi="Cambria"/>
      <w:color w:val="404040"/>
      <w:lang w:val="en-GB" w:eastAsia="en-US" w:bidi="ar-SA"/>
    </w:rPr>
  </w:style>
  <w:style w:type="character" w:customStyle="1" w:styleId="Heading9Char">
    <w:name w:val="Heading 9 Char"/>
    <w:basedOn w:val="DefaultParagraphFont"/>
    <w:link w:val="Heading9"/>
    <w:semiHidden/>
    <w:locked/>
    <w:rsid w:val="00360AF1"/>
    <w:rPr>
      <w:rFonts w:ascii="Cambria" w:eastAsia="Calibri" w:hAnsi="Cambria"/>
      <w:i/>
      <w:iCs/>
      <w:color w:val="404040"/>
      <w:lang w:val="en-GB" w:eastAsia="en-US" w:bidi="ar-SA"/>
    </w:rPr>
  </w:style>
  <w:style w:type="paragraph" w:customStyle="1" w:styleId="Paralevel1">
    <w:name w:val="Para level1"/>
    <w:basedOn w:val="Normal"/>
    <w:autoRedefine/>
    <w:rsid w:val="001C4114"/>
    <w:pPr>
      <w:numPr>
        <w:numId w:val="1"/>
      </w:numPr>
      <w:suppressAutoHyphens/>
    </w:pPr>
    <w:rPr>
      <w:rFonts w:eastAsia="Calibri"/>
      <w:sz w:val="20"/>
      <w:szCs w:val="20"/>
    </w:rPr>
  </w:style>
  <w:style w:type="character" w:styleId="Hyperlink">
    <w:name w:val="Hyperlink"/>
    <w:basedOn w:val="DefaultParagraphFont"/>
    <w:rsid w:val="001C4114"/>
    <w:rPr>
      <w:rFonts w:cs="Times New Roman"/>
      <w:color w:val="0000FF"/>
      <w:u w:val="single"/>
    </w:rPr>
  </w:style>
  <w:style w:type="paragraph" w:styleId="ListParagraph">
    <w:name w:val="List Paragraph"/>
    <w:basedOn w:val="Normal"/>
    <w:qFormat/>
    <w:rsid w:val="00DF169E"/>
    <w:pPr>
      <w:ind w:left="720"/>
    </w:pPr>
  </w:style>
  <w:style w:type="paragraph" w:customStyle="1" w:styleId="Char2TegnCharCharTegnCharCharCharCharCharCharCharCharCharCharCharCharChar">
    <w:name w:val="Char2 Tegn Char Char Tegn Char Char Char Char Char Char Char Char Char Char Char Char Char"/>
    <w:basedOn w:val="Normal"/>
    <w:rsid w:val="00826489"/>
    <w:pPr>
      <w:spacing w:after="160" w:line="240" w:lineRule="exact"/>
    </w:pPr>
    <w:rPr>
      <w:rFonts w:ascii="Tahoma" w:eastAsia="Calibri" w:hAnsi="Tahoma"/>
      <w:sz w:val="20"/>
      <w:szCs w:val="20"/>
      <w:lang w:val="en-US"/>
    </w:rPr>
  </w:style>
  <w:style w:type="table" w:styleId="TableGrid">
    <w:name w:val="Table Grid"/>
    <w:basedOn w:val="TableNormal"/>
    <w:rsid w:val="0025413B"/>
    <w:rPr>
      <w:rFonts w:eastAsia="Times New Roman"/>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A6318"/>
    <w:pPr>
      <w:tabs>
        <w:tab w:val="center" w:pos="4320"/>
        <w:tab w:val="right" w:pos="8640"/>
      </w:tabs>
      <w:spacing w:line="252" w:lineRule="auto"/>
    </w:pPr>
    <w:rPr>
      <w:rFonts w:ascii="Cambria" w:eastAsia="Calibri" w:hAnsi="Cambria" w:cs="Cambria"/>
      <w:lang w:val="en-US"/>
    </w:rPr>
  </w:style>
  <w:style w:type="character" w:customStyle="1" w:styleId="FooterChar">
    <w:name w:val="Footer Char"/>
    <w:basedOn w:val="DefaultParagraphFont"/>
    <w:link w:val="Footer"/>
    <w:locked/>
    <w:rsid w:val="002A6318"/>
    <w:rPr>
      <w:rFonts w:ascii="Cambria" w:hAnsi="Cambria" w:cs="Cambria"/>
      <w:sz w:val="22"/>
      <w:szCs w:val="22"/>
      <w:lang w:eastAsia="en-US"/>
    </w:rPr>
  </w:style>
  <w:style w:type="paragraph" w:customStyle="1" w:styleId="para1">
    <w:name w:val="para1"/>
    <w:basedOn w:val="Normal"/>
    <w:autoRedefine/>
    <w:rsid w:val="002A6318"/>
    <w:pPr>
      <w:tabs>
        <w:tab w:val="left" w:pos="567"/>
        <w:tab w:val="left" w:pos="1157"/>
        <w:tab w:val="left" w:pos="1735"/>
      </w:tabs>
      <w:spacing w:after="0"/>
    </w:pPr>
    <w:rPr>
      <w:rFonts w:ascii="Cambria" w:eastAsia="Calibri" w:hAnsi="Cambria"/>
      <w:color w:val="999999"/>
      <w:lang w:eastAsia="en-GB"/>
    </w:rPr>
  </w:style>
  <w:style w:type="paragraph" w:customStyle="1" w:styleId="Normaali">
    <w:name w:val="Normaali"/>
    <w:rsid w:val="002A6318"/>
    <w:pPr>
      <w:widowControl w:val="0"/>
    </w:pPr>
    <w:rPr>
      <w:rFonts w:ascii="Cambria" w:hAnsi="Cambria"/>
      <w:lang w:val="fi-FI" w:eastAsia="en-GB"/>
    </w:rPr>
  </w:style>
  <w:style w:type="paragraph" w:styleId="TOCHeading">
    <w:name w:val="TOC Heading"/>
    <w:basedOn w:val="Heading1"/>
    <w:next w:val="Normal"/>
    <w:qFormat/>
    <w:rsid w:val="00EE647E"/>
    <w:pPr>
      <w:keepLines/>
      <w:numPr>
        <w:numId w:val="0"/>
      </w:numPr>
      <w:spacing w:before="480"/>
      <w:outlineLvl w:val="9"/>
    </w:pPr>
    <w:rPr>
      <w:color w:val="365F91"/>
      <w:kern w:val="0"/>
      <w:szCs w:val="28"/>
      <w:lang w:val="en-US"/>
    </w:rPr>
  </w:style>
  <w:style w:type="paragraph" w:styleId="TOC1">
    <w:name w:val="toc 1"/>
    <w:basedOn w:val="Normal"/>
    <w:next w:val="Normal"/>
    <w:autoRedefine/>
    <w:semiHidden/>
    <w:rsid w:val="00A14F89"/>
    <w:pPr>
      <w:tabs>
        <w:tab w:val="left" w:pos="450"/>
        <w:tab w:val="right" w:leader="dot" w:pos="9737"/>
      </w:tabs>
      <w:ind w:left="450" w:hanging="450"/>
      <w:jc w:val="left"/>
    </w:pPr>
    <w:rPr>
      <w:rFonts w:cs="Calibri"/>
      <w:noProof/>
    </w:rPr>
  </w:style>
  <w:style w:type="paragraph" w:styleId="TOC2">
    <w:name w:val="toc 2"/>
    <w:basedOn w:val="Normal"/>
    <w:next w:val="Normal"/>
    <w:autoRedefine/>
    <w:semiHidden/>
    <w:rsid w:val="00EE647E"/>
    <w:pPr>
      <w:tabs>
        <w:tab w:val="left" w:pos="880"/>
        <w:tab w:val="right" w:leader="dot" w:pos="9737"/>
      </w:tabs>
      <w:ind w:left="220" w:firstLine="230"/>
    </w:pPr>
  </w:style>
  <w:style w:type="paragraph" w:styleId="Header">
    <w:name w:val="header"/>
    <w:aliases w:val="Header1"/>
    <w:basedOn w:val="Normal"/>
    <w:link w:val="HeaderChar"/>
    <w:rsid w:val="004C6E90"/>
    <w:pPr>
      <w:tabs>
        <w:tab w:val="center" w:pos="4419"/>
        <w:tab w:val="right" w:pos="8838"/>
      </w:tabs>
    </w:pPr>
  </w:style>
  <w:style w:type="character" w:customStyle="1" w:styleId="HeaderChar">
    <w:name w:val="Header Char"/>
    <w:aliases w:val="Header1 Char"/>
    <w:basedOn w:val="DefaultParagraphFont"/>
    <w:link w:val="Header"/>
    <w:locked/>
    <w:rsid w:val="004C6E90"/>
    <w:rPr>
      <w:rFonts w:cs="Times New Roman"/>
      <w:sz w:val="22"/>
      <w:szCs w:val="22"/>
      <w:lang w:val="en-GB" w:eastAsia="en-US"/>
    </w:rPr>
  </w:style>
  <w:style w:type="character" w:styleId="CommentReference">
    <w:name w:val="annotation reference"/>
    <w:basedOn w:val="DefaultParagraphFont"/>
    <w:semiHidden/>
    <w:rsid w:val="00E051D3"/>
    <w:rPr>
      <w:rFonts w:cs="Times New Roman"/>
      <w:sz w:val="16"/>
      <w:szCs w:val="16"/>
    </w:rPr>
  </w:style>
  <w:style w:type="paragraph" w:styleId="CommentText">
    <w:name w:val="annotation text"/>
    <w:aliases w:val="Char,Char Char,Char Char Char Char Char Char Char Char,Char Char Char Char Char Char Char Char Char,Char3 Char Char Char Char Char1,Kommentartext11"/>
    <w:basedOn w:val="Normal"/>
    <w:link w:val="CommentTextChar"/>
    <w:uiPriority w:val="99"/>
    <w:semiHidden/>
    <w:rsid w:val="00E051D3"/>
    <w:rPr>
      <w:sz w:val="20"/>
      <w:szCs w:val="20"/>
    </w:rPr>
  </w:style>
  <w:style w:type="character" w:customStyle="1" w:styleId="CommentTextChar">
    <w:name w:val="Comment Text Char"/>
    <w:aliases w:val="Char Char1,Char Char Char,Char Char Char Char Char Char Char Char Char1,Char Char Char Char Char Char Char Char Char Char,Char3 Char Char Char Char Char1 Char,Kommentartext11 Char"/>
    <w:basedOn w:val="DefaultParagraphFont"/>
    <w:link w:val="CommentText"/>
    <w:uiPriority w:val="99"/>
    <w:locked/>
    <w:rsid w:val="00E051D3"/>
    <w:rPr>
      <w:rFonts w:cs="Times New Roman"/>
      <w:lang w:eastAsia="en-US"/>
    </w:rPr>
  </w:style>
  <w:style w:type="paragraph" w:styleId="CommentSubject">
    <w:name w:val="annotation subject"/>
    <w:basedOn w:val="CommentText"/>
    <w:next w:val="CommentText"/>
    <w:link w:val="CommentSubjectChar"/>
    <w:semiHidden/>
    <w:rsid w:val="00E051D3"/>
    <w:rPr>
      <w:b/>
      <w:bCs/>
    </w:rPr>
  </w:style>
  <w:style w:type="character" w:customStyle="1" w:styleId="CommentSubjectChar">
    <w:name w:val="Comment Subject Char"/>
    <w:basedOn w:val="CommentTextChar"/>
    <w:link w:val="CommentSubject"/>
    <w:semiHidden/>
    <w:locked/>
    <w:rsid w:val="00E051D3"/>
    <w:rPr>
      <w:b/>
      <w:bCs/>
    </w:rPr>
  </w:style>
  <w:style w:type="paragraph" w:styleId="Revision">
    <w:name w:val="Revision"/>
    <w:hidden/>
    <w:semiHidden/>
    <w:rsid w:val="00E051D3"/>
    <w:rPr>
      <w:rFonts w:eastAsia="Times New Roman"/>
      <w:sz w:val="22"/>
      <w:szCs w:val="22"/>
      <w:lang w:val="en-GB"/>
    </w:rPr>
  </w:style>
  <w:style w:type="paragraph" w:styleId="BalloonText">
    <w:name w:val="Balloon Text"/>
    <w:basedOn w:val="Normal"/>
    <w:link w:val="BalloonTextChar"/>
    <w:semiHidden/>
    <w:rsid w:val="00E051D3"/>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E051D3"/>
    <w:rPr>
      <w:rFonts w:ascii="Tahoma" w:hAnsi="Tahoma" w:cs="Tahoma"/>
      <w:sz w:val="16"/>
      <w:szCs w:val="16"/>
      <w:lang w:eastAsia="en-US"/>
    </w:rPr>
  </w:style>
  <w:style w:type="character" w:styleId="PageNumber">
    <w:name w:val="page number"/>
    <w:basedOn w:val="DefaultParagraphFont"/>
    <w:rsid w:val="00566A7D"/>
  </w:style>
  <w:style w:type="paragraph" w:customStyle="1" w:styleId="Char2TegnCharCharTegnCharCharCharCharCharCharCharCharCharCharCharCharChar1">
    <w:name w:val="Char2 Tegn Char Char Tegn Char Char Char Char Char Char Char Char Char Char Char Char Char1"/>
    <w:basedOn w:val="Normal"/>
    <w:rsid w:val="00566A7D"/>
    <w:pPr>
      <w:spacing w:after="160" w:line="240" w:lineRule="exact"/>
    </w:pPr>
    <w:rPr>
      <w:rFonts w:ascii="Tahoma" w:eastAsia="Calibri" w:hAnsi="Tahoma"/>
      <w:szCs w:val="20"/>
      <w:lang w:val="en-US"/>
    </w:rPr>
  </w:style>
  <w:style w:type="paragraph" w:styleId="Title">
    <w:name w:val="Title"/>
    <w:aliases w:val="Title 1"/>
    <w:basedOn w:val="Normal"/>
    <w:link w:val="TitleChar"/>
    <w:qFormat/>
    <w:rsid w:val="00B918E3"/>
    <w:pPr>
      <w:jc w:val="left"/>
    </w:pPr>
    <w:rPr>
      <w:rFonts w:ascii="Lucida Sans" w:hAnsi="Lucida Sans" w:cs="Arial"/>
      <w:b/>
      <w:noProof/>
      <w:color w:val="FF9900"/>
      <w:sz w:val="60"/>
      <w:szCs w:val="60"/>
    </w:rPr>
  </w:style>
  <w:style w:type="character" w:customStyle="1" w:styleId="TitleChar">
    <w:name w:val="Title Char"/>
    <w:aliases w:val="Title 1 Char"/>
    <w:basedOn w:val="DefaultParagraphFont"/>
    <w:link w:val="Title"/>
    <w:locked/>
    <w:rsid w:val="00B918E3"/>
    <w:rPr>
      <w:rFonts w:ascii="Lucida Sans" w:eastAsia="MS Mincho" w:hAnsi="Lucida Sans" w:cs="Arial"/>
      <w:b/>
      <w:noProof/>
      <w:color w:val="FF9900"/>
      <w:sz w:val="60"/>
      <w:szCs w:val="60"/>
      <w:lang w:val="en-GB" w:eastAsia="en-US"/>
    </w:rPr>
  </w:style>
  <w:style w:type="paragraph" w:customStyle="1" w:styleId="Subtitle">
    <w:name w:val="Sub title"/>
    <w:basedOn w:val="Heading2"/>
    <w:rsid w:val="00566A7D"/>
    <w:pPr>
      <w:spacing w:after="0"/>
      <w:ind w:left="1247"/>
    </w:pPr>
    <w:rPr>
      <w:rFonts w:eastAsia="Calibri"/>
    </w:rPr>
  </w:style>
  <w:style w:type="paragraph" w:styleId="FootnoteText">
    <w:name w:val="footnote text"/>
    <w:basedOn w:val="Normal"/>
    <w:link w:val="FootnoteTextChar"/>
    <w:uiPriority w:val="99"/>
    <w:semiHidden/>
    <w:rsid w:val="0068766A"/>
    <w:pPr>
      <w:spacing w:after="0"/>
    </w:pPr>
    <w:rPr>
      <w:sz w:val="20"/>
      <w:szCs w:val="20"/>
    </w:rPr>
  </w:style>
  <w:style w:type="character" w:customStyle="1" w:styleId="FootnoteTextChar">
    <w:name w:val="Footnote Text Char"/>
    <w:basedOn w:val="DefaultParagraphFont"/>
    <w:link w:val="FootnoteText"/>
    <w:uiPriority w:val="99"/>
    <w:locked/>
    <w:rsid w:val="0068766A"/>
    <w:rPr>
      <w:rFonts w:ascii="Times New Roman" w:eastAsia="MS Mincho" w:hAnsi="Times New Roman" w:cs="Times New Roman"/>
      <w:lang w:val="en-GB" w:eastAsia="en-US"/>
    </w:rPr>
  </w:style>
  <w:style w:type="character" w:styleId="FootnoteReference">
    <w:name w:val="footnote reference"/>
    <w:basedOn w:val="DefaultParagraphFont"/>
    <w:uiPriority w:val="99"/>
    <w:semiHidden/>
    <w:rsid w:val="0068766A"/>
    <w:rPr>
      <w:rFonts w:cs="Times New Roman"/>
      <w:vertAlign w:val="superscript"/>
    </w:rPr>
  </w:style>
  <w:style w:type="paragraph" w:customStyle="1" w:styleId="Subtitle1">
    <w:name w:val="Subtitle 1"/>
    <w:basedOn w:val="Normal"/>
    <w:link w:val="Subtitle1Char"/>
    <w:rsid w:val="00B918E3"/>
    <w:pPr>
      <w:jc w:val="left"/>
    </w:pPr>
    <w:rPr>
      <w:rFonts w:ascii="Lucida Sans" w:hAnsi="Lucida Sans" w:cs="Arial"/>
      <w:b/>
      <w:noProof/>
      <w:color w:val="808080"/>
      <w:sz w:val="44"/>
      <w:szCs w:val="44"/>
    </w:rPr>
  </w:style>
  <w:style w:type="character" w:customStyle="1" w:styleId="Subtitle1Char">
    <w:name w:val="Subtitle 1 Char"/>
    <w:basedOn w:val="DefaultParagraphFont"/>
    <w:link w:val="Subtitle1"/>
    <w:locked/>
    <w:rsid w:val="00B918E3"/>
    <w:rPr>
      <w:rFonts w:ascii="Lucida Sans" w:eastAsia="MS Mincho" w:hAnsi="Lucida Sans" w:cs="Arial"/>
      <w:b/>
      <w:noProof/>
      <w:color w:val="808080"/>
      <w:sz w:val="44"/>
      <w:szCs w:val="44"/>
      <w:lang w:val="en-GB" w:eastAsia="en-US"/>
    </w:rPr>
  </w:style>
  <w:style w:type="paragraph" w:customStyle="1" w:styleId="Subtitle2">
    <w:name w:val="Subtitle 2"/>
    <w:basedOn w:val="Title"/>
    <w:link w:val="Subtitle2Char"/>
    <w:rsid w:val="00E44285"/>
    <w:rPr>
      <w:b w:val="0"/>
      <w:color w:val="808080"/>
      <w:sz w:val="32"/>
      <w:szCs w:val="32"/>
    </w:rPr>
  </w:style>
  <w:style w:type="character" w:customStyle="1" w:styleId="Subtitle2Char">
    <w:name w:val="Subtitle 2 Char"/>
    <w:basedOn w:val="TitleChar"/>
    <w:link w:val="Subtitle2"/>
    <w:locked/>
    <w:rsid w:val="00E44285"/>
    <w:rPr>
      <w:color w:val="808080"/>
      <w:sz w:val="32"/>
      <w:szCs w:val="32"/>
    </w:rPr>
  </w:style>
  <w:style w:type="paragraph" w:customStyle="1" w:styleId="BulletLevel1">
    <w:name w:val="Bullet Level 1"/>
    <w:basedOn w:val="Normal"/>
    <w:link w:val="BulletLevel1Char"/>
    <w:rsid w:val="00A74348"/>
    <w:pPr>
      <w:numPr>
        <w:numId w:val="2"/>
      </w:numPr>
      <w:spacing w:after="60"/>
      <w:jc w:val="left"/>
    </w:pPr>
    <w:rPr>
      <w:rFonts w:eastAsia="Calibri"/>
      <w:color w:val="000000"/>
      <w:lang w:val="en-US" w:eastAsia="en-GB"/>
    </w:rPr>
  </w:style>
  <w:style w:type="character" w:customStyle="1" w:styleId="BulletLevel1Char">
    <w:name w:val="Bullet Level 1 Char"/>
    <w:basedOn w:val="DefaultParagraphFont"/>
    <w:link w:val="BulletLevel1"/>
    <w:locked/>
    <w:rsid w:val="00A74348"/>
    <w:rPr>
      <w:color w:val="000000"/>
      <w:sz w:val="22"/>
      <w:szCs w:val="22"/>
      <w:lang w:eastAsia="en-GB"/>
    </w:rPr>
  </w:style>
  <w:style w:type="paragraph" w:customStyle="1" w:styleId="BulletLevel2">
    <w:name w:val="Bullet Level 2"/>
    <w:basedOn w:val="BulletLevel1"/>
    <w:link w:val="BulletLevel2Char"/>
    <w:rsid w:val="0019266A"/>
    <w:pPr>
      <w:tabs>
        <w:tab w:val="left" w:pos="810"/>
      </w:tabs>
      <w:ind w:left="810"/>
    </w:pPr>
  </w:style>
  <w:style w:type="character" w:customStyle="1" w:styleId="BulletLevel2Char">
    <w:name w:val="Bullet Level 2 Char"/>
    <w:basedOn w:val="BulletLevel1Char"/>
    <w:link w:val="BulletLevel2"/>
    <w:locked/>
    <w:rsid w:val="0019266A"/>
  </w:style>
  <w:style w:type="paragraph" w:styleId="TOC3">
    <w:name w:val="toc 3"/>
    <w:basedOn w:val="Normal"/>
    <w:next w:val="Normal"/>
    <w:autoRedefine/>
    <w:semiHidden/>
    <w:rsid w:val="007451EC"/>
    <w:pPr>
      <w:spacing w:after="100"/>
      <w:ind w:left="440"/>
    </w:pPr>
  </w:style>
  <w:style w:type="character" w:customStyle="1" w:styleId="containertitle">
    <w:name w:val="containertitle"/>
    <w:basedOn w:val="DefaultParagraphFont"/>
    <w:rsid w:val="00E309BD"/>
    <w:rPr>
      <w:rFonts w:cs="Times New Roman"/>
    </w:rPr>
  </w:style>
  <w:style w:type="character" w:styleId="Strong">
    <w:name w:val="Strong"/>
    <w:basedOn w:val="DefaultParagraphFont"/>
    <w:qFormat/>
    <w:rsid w:val="00E309BD"/>
    <w:rPr>
      <w:rFonts w:cs="Times New Roman"/>
      <w:b/>
      <w:bCs/>
    </w:rPr>
  </w:style>
  <w:style w:type="character" w:styleId="FollowedHyperlink">
    <w:name w:val="FollowedHyperlink"/>
    <w:basedOn w:val="DefaultParagraphFont"/>
    <w:rsid w:val="00296AFA"/>
    <w:rPr>
      <w:rFonts w:cs="Times New Roman"/>
      <w:color w:val="800080"/>
      <w:u w:val="single"/>
    </w:rPr>
  </w:style>
  <w:style w:type="character" w:customStyle="1" w:styleId="st">
    <w:name w:val="st"/>
    <w:basedOn w:val="DefaultParagraphFont"/>
    <w:rsid w:val="006A7452"/>
    <w:rPr>
      <w:rFonts w:cs="Times New Roman"/>
    </w:rPr>
  </w:style>
  <w:style w:type="paragraph" w:customStyle="1" w:styleId="Default">
    <w:name w:val="Default"/>
    <w:rsid w:val="00A448A2"/>
    <w:pPr>
      <w:autoSpaceDE w:val="0"/>
      <w:autoSpaceDN w:val="0"/>
      <w:adjustRightInd w:val="0"/>
    </w:pPr>
    <w:rPr>
      <w:rFonts w:ascii="EUAlbertina" w:hAnsi="EUAlbertina" w:cs="EUAlbertina"/>
      <w:color w:val="000000"/>
      <w:sz w:val="24"/>
      <w:szCs w:val="24"/>
      <w:lang w:val="de-DE" w:eastAsia="de-DE"/>
    </w:rPr>
  </w:style>
  <w:style w:type="paragraph" w:customStyle="1" w:styleId="CM4">
    <w:name w:val="CM4"/>
    <w:basedOn w:val="Default"/>
    <w:next w:val="Default"/>
    <w:rsid w:val="00A448A2"/>
    <w:rPr>
      <w:rFonts w:cs="Times New Roman"/>
      <w:color w:val="auto"/>
    </w:rPr>
  </w:style>
  <w:style w:type="paragraph" w:customStyle="1" w:styleId="CH2">
    <w:name w:val="CH2"/>
    <w:basedOn w:val="Normal"/>
    <w:autoRedefine/>
    <w:rsid w:val="00A448A2"/>
    <w:pPr>
      <w:snapToGrid/>
      <w:spacing w:after="240"/>
      <w:jc w:val="left"/>
    </w:pPr>
    <w:rPr>
      <w:rFonts w:ascii="Times New Roman" w:eastAsia="SimSun" w:hAnsi="Times New Roman"/>
      <w:sz w:val="24"/>
      <w:szCs w:val="24"/>
    </w:rPr>
  </w:style>
  <w:style w:type="paragraph" w:styleId="NormalWeb">
    <w:name w:val="Normal (Web)"/>
    <w:basedOn w:val="Normal"/>
    <w:uiPriority w:val="99"/>
    <w:rsid w:val="00F32CF0"/>
    <w:pPr>
      <w:snapToGrid/>
      <w:spacing w:before="100" w:beforeAutospacing="1" w:after="100" w:afterAutospacing="1"/>
      <w:jc w:val="left"/>
    </w:pPr>
    <w:rPr>
      <w:rFonts w:ascii="Times New Roman" w:eastAsia="Calibri" w:hAnsi="Times New Roman"/>
      <w:sz w:val="24"/>
      <w:szCs w:val="24"/>
      <w:lang w:val="de-DE" w:eastAsia="de-DE" w:bidi="th-TH"/>
    </w:rPr>
  </w:style>
  <w:style w:type="character" w:customStyle="1" w:styleId="FormatvorlageArial1">
    <w:name w:val="Formatvorlage Arial1"/>
    <w:basedOn w:val="DefaultParagraphFont"/>
    <w:rsid w:val="00F32CF0"/>
    <w:rPr>
      <w:rFonts w:ascii="Arial" w:hAnsi="Arial" w:cs="Arial"/>
      <w:sz w:val="24"/>
      <w:szCs w:val="24"/>
      <w:lang w:val="en-GB"/>
    </w:rPr>
  </w:style>
  <w:style w:type="paragraph" w:styleId="BodyText">
    <w:name w:val="Body Text"/>
    <w:basedOn w:val="Normal"/>
    <w:link w:val="BodyTextChar"/>
    <w:rsid w:val="00F32CF0"/>
    <w:pPr>
      <w:suppressAutoHyphens/>
      <w:snapToGrid/>
      <w:jc w:val="left"/>
    </w:pPr>
    <w:rPr>
      <w:rFonts w:ascii="Times New Roman" w:eastAsia="SimSun" w:hAnsi="Times New Roman" w:cs="Mangal"/>
      <w:kern w:val="1"/>
      <w:sz w:val="24"/>
      <w:szCs w:val="24"/>
      <w:lang w:val="de-DE" w:eastAsia="hi-IN" w:bidi="hi-IN"/>
    </w:rPr>
  </w:style>
  <w:style w:type="character" w:customStyle="1" w:styleId="BodyTextChar">
    <w:name w:val="Body Text Char"/>
    <w:basedOn w:val="DefaultParagraphFont"/>
    <w:link w:val="BodyText"/>
    <w:locked/>
    <w:rsid w:val="00F32CF0"/>
    <w:rPr>
      <w:rFonts w:ascii="Times New Roman" w:eastAsia="SimSun" w:hAnsi="Times New Roman" w:cs="Mangal"/>
      <w:kern w:val="1"/>
      <w:sz w:val="24"/>
      <w:szCs w:val="24"/>
      <w:lang w:val="de-DE" w:eastAsia="hi-IN" w:bidi="hi-IN"/>
    </w:rPr>
  </w:style>
  <w:style w:type="paragraph" w:styleId="NoSpacing">
    <w:name w:val="No Spacing"/>
    <w:qFormat/>
    <w:rsid w:val="00CF7F0F"/>
    <w:pPr>
      <w:snapToGrid w:val="0"/>
      <w:jc w:val="both"/>
    </w:pPr>
    <w:rPr>
      <w:rFonts w:eastAsia="MS Mincho"/>
      <w:sz w:val="22"/>
      <w:szCs w:val="22"/>
      <w:lang w:val="en-GB"/>
    </w:rPr>
  </w:style>
  <w:style w:type="character" w:customStyle="1" w:styleId="colname1">
    <w:name w:val="col_name1"/>
    <w:basedOn w:val="DefaultParagraphFont"/>
    <w:rsid w:val="005E2C5E"/>
    <w:rPr>
      <w:rFonts w:cs="Times New Roman"/>
    </w:rPr>
  </w:style>
  <w:style w:type="character" w:customStyle="1" w:styleId="colftyp">
    <w:name w:val="col_ftyp"/>
    <w:basedOn w:val="DefaultParagraphFont"/>
    <w:rsid w:val="005E2C5E"/>
    <w:rPr>
      <w:rFonts w:cs="Times New Roman"/>
    </w:rPr>
  </w:style>
  <w:style w:type="character" w:customStyle="1" w:styleId="colland">
    <w:name w:val="col_land"/>
    <w:basedOn w:val="DefaultParagraphFont"/>
    <w:rsid w:val="005E2C5E"/>
    <w:rPr>
      <w:rFonts w:cs="Times New Roman"/>
    </w:rPr>
  </w:style>
  <w:style w:type="character" w:customStyle="1" w:styleId="colblank">
    <w:name w:val="col_blank"/>
    <w:basedOn w:val="DefaultParagraphFont"/>
    <w:rsid w:val="005E2C5E"/>
    <w:rPr>
      <w:rFonts w:cs="Times New Roman"/>
    </w:rPr>
  </w:style>
  <w:style w:type="character" w:customStyle="1" w:styleId="Funotenzeichen">
    <w:name w:val="Fußnotenzeichen"/>
    <w:basedOn w:val="DefaultParagraphFont"/>
    <w:rsid w:val="00E90358"/>
    <w:rPr>
      <w:rFonts w:cs="Times New Roman"/>
      <w:vertAlign w:val="superscript"/>
    </w:rPr>
  </w:style>
  <w:style w:type="paragraph" w:customStyle="1" w:styleId="AnnexHeading2">
    <w:name w:val="Annex Heading 2"/>
    <w:basedOn w:val="Heading1"/>
    <w:link w:val="AnnexHeading2Char"/>
    <w:qFormat/>
    <w:rsid w:val="00894327"/>
    <w:pPr>
      <w:numPr>
        <w:numId w:val="0"/>
      </w:numPr>
      <w:ind w:left="432" w:hanging="432"/>
    </w:pPr>
    <w:rPr>
      <w:sz w:val="24"/>
      <w:szCs w:val="24"/>
    </w:rPr>
  </w:style>
  <w:style w:type="paragraph" w:customStyle="1" w:styleId="AnnexHeading3">
    <w:name w:val="Annex Heading 3"/>
    <w:basedOn w:val="Heading3"/>
    <w:link w:val="AnnexHeading3Char"/>
    <w:rsid w:val="00C7679C"/>
    <w:pPr>
      <w:numPr>
        <w:ilvl w:val="0"/>
        <w:numId w:val="0"/>
      </w:numPr>
      <w:tabs>
        <w:tab w:val="left" w:pos="450"/>
      </w:tabs>
      <w:ind w:left="446" w:hanging="446"/>
    </w:pPr>
  </w:style>
  <w:style w:type="character" w:customStyle="1" w:styleId="AnnexHeading2Char">
    <w:name w:val="Annex Heading 2 Char"/>
    <w:basedOn w:val="Heading1Char"/>
    <w:link w:val="AnnexHeading2"/>
    <w:locked/>
    <w:rsid w:val="00894327"/>
    <w:rPr>
      <w:sz w:val="24"/>
      <w:szCs w:val="24"/>
      <w:lang w:eastAsia="en-US"/>
    </w:rPr>
  </w:style>
  <w:style w:type="character" w:customStyle="1" w:styleId="AnnexHeading3Char">
    <w:name w:val="Annex Heading 3 Char"/>
    <w:basedOn w:val="Heading3Char"/>
    <w:link w:val="AnnexHeading3"/>
    <w:locked/>
    <w:rsid w:val="00C7679C"/>
  </w:style>
  <w:style w:type="paragraph" w:styleId="DocumentMap">
    <w:name w:val="Document Map"/>
    <w:basedOn w:val="Normal"/>
    <w:semiHidden/>
    <w:rsid w:val="00D54DFA"/>
    <w:pPr>
      <w:shd w:val="clear" w:color="auto" w:fill="000080"/>
    </w:pPr>
    <w:rPr>
      <w:rFonts w:ascii="Tahoma" w:hAnsi="Tahoma" w:cs="Tahoma"/>
      <w:sz w:val="20"/>
      <w:szCs w:val="20"/>
    </w:rPr>
  </w:style>
  <w:style w:type="paragraph" w:customStyle="1" w:styleId="textheader">
    <w:name w:val="textheader"/>
    <w:basedOn w:val="Normal"/>
    <w:rsid w:val="00D02FBF"/>
    <w:pPr>
      <w:snapToGrid/>
      <w:spacing w:before="100" w:beforeAutospacing="1" w:after="100" w:afterAutospacing="1"/>
      <w:jc w:val="left"/>
    </w:pPr>
    <w:rPr>
      <w:rFonts w:ascii="Georgia" w:eastAsia="Times New Roman" w:hAnsi="Georgia" w:cs="Arial"/>
      <w:b/>
      <w:bCs/>
      <w:color w:val="003399"/>
      <w:sz w:val="18"/>
      <w:szCs w:val="18"/>
      <w:lang w:val="en-US"/>
    </w:rPr>
  </w:style>
  <w:style w:type="character" w:customStyle="1" w:styleId="containertitle4">
    <w:name w:val="containertitle4"/>
    <w:basedOn w:val="DefaultParagraphFont"/>
    <w:rsid w:val="00D02FBF"/>
    <w:rPr>
      <w:rFonts w:ascii="Georgia" w:hAnsi="Georgia" w:cs="Arial" w:hint="default"/>
      <w:b/>
      <w:bCs/>
      <w:color w:val="003399"/>
      <w:sz w:val="30"/>
      <w:szCs w:val="3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391931226">
      <w:bodyDiv w:val="1"/>
      <w:marLeft w:val="0"/>
      <w:marRight w:val="0"/>
      <w:marTop w:val="0"/>
      <w:marBottom w:val="0"/>
      <w:divBdr>
        <w:top w:val="none" w:sz="0" w:space="0" w:color="auto"/>
        <w:left w:val="none" w:sz="0" w:space="0" w:color="auto"/>
        <w:bottom w:val="none" w:sz="0" w:space="0" w:color="auto"/>
        <w:right w:val="none" w:sz="0" w:space="0" w:color="auto"/>
      </w:divBdr>
      <w:divsChild>
        <w:div w:id="229928134">
          <w:marLeft w:val="0"/>
          <w:marRight w:val="0"/>
          <w:marTop w:val="0"/>
          <w:marBottom w:val="0"/>
          <w:divBdr>
            <w:top w:val="none" w:sz="0" w:space="0" w:color="auto"/>
            <w:left w:val="none" w:sz="0" w:space="0" w:color="auto"/>
            <w:bottom w:val="none" w:sz="0" w:space="0" w:color="auto"/>
            <w:right w:val="none" w:sz="0" w:space="0" w:color="auto"/>
          </w:divBdr>
          <w:divsChild>
            <w:div w:id="1406682024">
              <w:marLeft w:val="0"/>
              <w:marRight w:val="0"/>
              <w:marTop w:val="0"/>
              <w:marBottom w:val="0"/>
              <w:divBdr>
                <w:top w:val="none" w:sz="0" w:space="0" w:color="auto"/>
                <w:left w:val="none" w:sz="0" w:space="0" w:color="auto"/>
                <w:bottom w:val="none" w:sz="0" w:space="0" w:color="auto"/>
                <w:right w:val="none" w:sz="0" w:space="0" w:color="auto"/>
              </w:divBdr>
              <w:divsChild>
                <w:div w:id="16152823">
                  <w:marLeft w:val="0"/>
                  <w:marRight w:val="0"/>
                  <w:marTop w:val="0"/>
                  <w:marBottom w:val="0"/>
                  <w:divBdr>
                    <w:top w:val="none" w:sz="0" w:space="0" w:color="auto"/>
                    <w:left w:val="none" w:sz="0" w:space="0" w:color="auto"/>
                    <w:bottom w:val="none" w:sz="0" w:space="0" w:color="auto"/>
                    <w:right w:val="none" w:sz="0" w:space="0" w:color="auto"/>
                  </w:divBdr>
                  <w:divsChild>
                    <w:div w:id="338197356">
                      <w:marLeft w:val="0"/>
                      <w:marRight w:val="0"/>
                      <w:marTop w:val="0"/>
                      <w:marBottom w:val="0"/>
                      <w:divBdr>
                        <w:top w:val="none" w:sz="0" w:space="0" w:color="auto"/>
                        <w:left w:val="none" w:sz="0" w:space="0" w:color="auto"/>
                        <w:bottom w:val="none" w:sz="0" w:space="0" w:color="auto"/>
                        <w:right w:val="none" w:sz="0" w:space="0" w:color="auto"/>
                      </w:divBdr>
                      <w:divsChild>
                        <w:div w:id="1824855953">
                          <w:marLeft w:val="0"/>
                          <w:marRight w:val="0"/>
                          <w:marTop w:val="0"/>
                          <w:marBottom w:val="0"/>
                          <w:divBdr>
                            <w:top w:val="none" w:sz="0" w:space="0" w:color="auto"/>
                            <w:left w:val="none" w:sz="0" w:space="0" w:color="auto"/>
                            <w:bottom w:val="none" w:sz="0" w:space="0" w:color="auto"/>
                            <w:right w:val="none" w:sz="0" w:space="0" w:color="auto"/>
                          </w:divBdr>
                          <w:divsChild>
                            <w:div w:id="1210848500">
                              <w:marLeft w:val="0"/>
                              <w:marRight w:val="0"/>
                              <w:marTop w:val="0"/>
                              <w:marBottom w:val="0"/>
                              <w:divBdr>
                                <w:top w:val="none" w:sz="0" w:space="0" w:color="auto"/>
                                <w:left w:val="none" w:sz="0" w:space="0" w:color="auto"/>
                                <w:bottom w:val="none" w:sz="0" w:space="0" w:color="auto"/>
                                <w:right w:val="none" w:sz="0" w:space="0" w:color="auto"/>
                              </w:divBdr>
                              <w:divsChild>
                                <w:div w:id="1821580202">
                                  <w:marLeft w:val="0"/>
                                  <w:marRight w:val="0"/>
                                  <w:marTop w:val="0"/>
                                  <w:marBottom w:val="120"/>
                                  <w:divBdr>
                                    <w:top w:val="none" w:sz="0" w:space="0" w:color="auto"/>
                                    <w:left w:val="none" w:sz="0" w:space="0" w:color="auto"/>
                                    <w:bottom w:val="none" w:sz="0" w:space="0" w:color="auto"/>
                                    <w:right w:val="none" w:sz="0" w:space="0" w:color="auto"/>
                                  </w:divBdr>
                                  <w:divsChild>
                                    <w:div w:id="1201432787">
                                      <w:marLeft w:val="0"/>
                                      <w:marRight w:val="0"/>
                                      <w:marTop w:val="0"/>
                                      <w:marBottom w:val="0"/>
                                      <w:divBdr>
                                        <w:top w:val="none" w:sz="0" w:space="0" w:color="auto"/>
                                        <w:left w:val="none" w:sz="0" w:space="0" w:color="auto"/>
                                        <w:bottom w:val="none" w:sz="0" w:space="0" w:color="auto"/>
                                        <w:right w:val="none" w:sz="0" w:space="0" w:color="auto"/>
                                      </w:divBdr>
                                      <w:divsChild>
                                        <w:div w:id="1645426617">
                                          <w:marLeft w:val="0"/>
                                          <w:marRight w:val="0"/>
                                          <w:marTop w:val="0"/>
                                          <w:marBottom w:val="0"/>
                                          <w:divBdr>
                                            <w:top w:val="none" w:sz="0" w:space="0" w:color="auto"/>
                                            <w:left w:val="none" w:sz="0" w:space="0" w:color="auto"/>
                                            <w:bottom w:val="none" w:sz="0" w:space="0" w:color="auto"/>
                                            <w:right w:val="none" w:sz="0" w:space="0" w:color="auto"/>
                                          </w:divBdr>
                                        </w:div>
                                      </w:divsChild>
                                    </w:div>
                                    <w:div w:id="1653099858">
                                      <w:marLeft w:val="0"/>
                                      <w:marRight w:val="0"/>
                                      <w:marTop w:val="0"/>
                                      <w:marBottom w:val="0"/>
                                      <w:divBdr>
                                        <w:top w:val="none" w:sz="0" w:space="0" w:color="auto"/>
                                        <w:left w:val="none" w:sz="0" w:space="0" w:color="auto"/>
                                        <w:bottom w:val="none" w:sz="0" w:space="0" w:color="auto"/>
                                        <w:right w:val="none" w:sz="0" w:space="0" w:color="auto"/>
                                      </w:divBdr>
                                      <w:divsChild>
                                        <w:div w:id="228082538">
                                          <w:marLeft w:val="0"/>
                                          <w:marRight w:val="0"/>
                                          <w:marTop w:val="0"/>
                                          <w:marBottom w:val="0"/>
                                          <w:divBdr>
                                            <w:top w:val="none" w:sz="0" w:space="0" w:color="auto"/>
                                            <w:left w:val="none" w:sz="0" w:space="0" w:color="auto"/>
                                            <w:bottom w:val="none" w:sz="0" w:space="0" w:color="auto"/>
                                            <w:right w:val="none" w:sz="0" w:space="0" w:color="auto"/>
                                          </w:divBdr>
                                          <w:divsChild>
                                            <w:div w:id="951983260">
                                              <w:marLeft w:val="0"/>
                                              <w:marRight w:val="0"/>
                                              <w:marTop w:val="0"/>
                                              <w:marBottom w:val="0"/>
                                              <w:divBdr>
                                                <w:top w:val="none" w:sz="0" w:space="0" w:color="auto"/>
                                                <w:left w:val="none" w:sz="0" w:space="0" w:color="auto"/>
                                                <w:bottom w:val="none" w:sz="0" w:space="0" w:color="auto"/>
                                                <w:right w:val="none" w:sz="0" w:space="0" w:color="auto"/>
                                              </w:divBdr>
                                              <w:divsChild>
                                                <w:div w:id="16747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271063">
      <w:bodyDiv w:val="1"/>
      <w:marLeft w:val="0"/>
      <w:marRight w:val="0"/>
      <w:marTop w:val="0"/>
      <w:marBottom w:val="0"/>
      <w:divBdr>
        <w:top w:val="none" w:sz="0" w:space="0" w:color="auto"/>
        <w:left w:val="none" w:sz="0" w:space="0" w:color="auto"/>
        <w:bottom w:val="none" w:sz="0" w:space="0" w:color="auto"/>
        <w:right w:val="none" w:sz="0" w:space="0" w:color="auto"/>
      </w:divBdr>
      <w:divsChild>
        <w:div w:id="342780567">
          <w:marLeft w:val="0"/>
          <w:marRight w:val="0"/>
          <w:marTop w:val="0"/>
          <w:marBottom w:val="0"/>
          <w:divBdr>
            <w:top w:val="none" w:sz="0" w:space="0" w:color="auto"/>
            <w:left w:val="none" w:sz="0" w:space="0" w:color="auto"/>
            <w:bottom w:val="none" w:sz="0" w:space="0" w:color="auto"/>
            <w:right w:val="none" w:sz="0" w:space="0" w:color="auto"/>
          </w:divBdr>
          <w:divsChild>
            <w:div w:id="778991995">
              <w:marLeft w:val="0"/>
              <w:marRight w:val="0"/>
              <w:marTop w:val="0"/>
              <w:marBottom w:val="0"/>
              <w:divBdr>
                <w:top w:val="none" w:sz="0" w:space="0" w:color="auto"/>
                <w:left w:val="none" w:sz="0" w:space="0" w:color="auto"/>
                <w:bottom w:val="none" w:sz="0" w:space="0" w:color="auto"/>
                <w:right w:val="none" w:sz="0" w:space="0" w:color="auto"/>
              </w:divBdr>
              <w:divsChild>
                <w:div w:id="1673995231">
                  <w:marLeft w:val="0"/>
                  <w:marRight w:val="0"/>
                  <w:marTop w:val="0"/>
                  <w:marBottom w:val="0"/>
                  <w:divBdr>
                    <w:top w:val="none" w:sz="0" w:space="0" w:color="auto"/>
                    <w:left w:val="none" w:sz="0" w:space="0" w:color="auto"/>
                    <w:bottom w:val="none" w:sz="0" w:space="0" w:color="auto"/>
                    <w:right w:val="none" w:sz="0" w:space="0" w:color="auto"/>
                  </w:divBdr>
                  <w:divsChild>
                    <w:div w:id="1189946847">
                      <w:marLeft w:val="0"/>
                      <w:marRight w:val="0"/>
                      <w:marTop w:val="0"/>
                      <w:marBottom w:val="0"/>
                      <w:divBdr>
                        <w:top w:val="none" w:sz="0" w:space="0" w:color="auto"/>
                        <w:left w:val="none" w:sz="0" w:space="0" w:color="auto"/>
                        <w:bottom w:val="none" w:sz="0" w:space="0" w:color="auto"/>
                        <w:right w:val="none" w:sz="0" w:space="0" w:color="auto"/>
                      </w:divBdr>
                      <w:divsChild>
                        <w:div w:id="91516234">
                          <w:marLeft w:val="0"/>
                          <w:marRight w:val="0"/>
                          <w:marTop w:val="0"/>
                          <w:marBottom w:val="0"/>
                          <w:divBdr>
                            <w:top w:val="none" w:sz="0" w:space="0" w:color="auto"/>
                            <w:left w:val="none" w:sz="0" w:space="0" w:color="auto"/>
                            <w:bottom w:val="none" w:sz="0" w:space="0" w:color="auto"/>
                            <w:right w:val="none" w:sz="0" w:space="0" w:color="auto"/>
                          </w:divBdr>
                          <w:divsChild>
                            <w:div w:id="984238472">
                              <w:marLeft w:val="0"/>
                              <w:marRight w:val="0"/>
                              <w:marTop w:val="0"/>
                              <w:marBottom w:val="0"/>
                              <w:divBdr>
                                <w:top w:val="none" w:sz="0" w:space="0" w:color="auto"/>
                                <w:left w:val="none" w:sz="0" w:space="0" w:color="auto"/>
                                <w:bottom w:val="none" w:sz="0" w:space="0" w:color="auto"/>
                                <w:right w:val="none" w:sz="0" w:space="0" w:color="auto"/>
                              </w:divBdr>
                              <w:divsChild>
                                <w:div w:id="515507071">
                                  <w:marLeft w:val="0"/>
                                  <w:marRight w:val="0"/>
                                  <w:marTop w:val="0"/>
                                  <w:marBottom w:val="120"/>
                                  <w:divBdr>
                                    <w:top w:val="none" w:sz="0" w:space="0" w:color="auto"/>
                                    <w:left w:val="none" w:sz="0" w:space="0" w:color="auto"/>
                                    <w:bottom w:val="none" w:sz="0" w:space="0" w:color="auto"/>
                                    <w:right w:val="none" w:sz="0" w:space="0" w:color="auto"/>
                                  </w:divBdr>
                                  <w:divsChild>
                                    <w:div w:id="1356615538">
                                      <w:marLeft w:val="0"/>
                                      <w:marRight w:val="0"/>
                                      <w:marTop w:val="0"/>
                                      <w:marBottom w:val="0"/>
                                      <w:divBdr>
                                        <w:top w:val="none" w:sz="0" w:space="0" w:color="auto"/>
                                        <w:left w:val="none" w:sz="0" w:space="0" w:color="auto"/>
                                        <w:bottom w:val="none" w:sz="0" w:space="0" w:color="auto"/>
                                        <w:right w:val="none" w:sz="0" w:space="0" w:color="auto"/>
                                      </w:divBdr>
                                      <w:divsChild>
                                        <w:div w:id="1261720160">
                                          <w:marLeft w:val="0"/>
                                          <w:marRight w:val="0"/>
                                          <w:marTop w:val="0"/>
                                          <w:marBottom w:val="0"/>
                                          <w:divBdr>
                                            <w:top w:val="none" w:sz="0" w:space="0" w:color="auto"/>
                                            <w:left w:val="none" w:sz="0" w:space="0" w:color="auto"/>
                                            <w:bottom w:val="none" w:sz="0" w:space="0" w:color="auto"/>
                                            <w:right w:val="none" w:sz="0" w:space="0" w:color="auto"/>
                                          </w:divBdr>
                                        </w:div>
                                      </w:divsChild>
                                    </w:div>
                                    <w:div w:id="692927419">
                                      <w:marLeft w:val="0"/>
                                      <w:marRight w:val="0"/>
                                      <w:marTop w:val="0"/>
                                      <w:marBottom w:val="0"/>
                                      <w:divBdr>
                                        <w:top w:val="none" w:sz="0" w:space="0" w:color="auto"/>
                                        <w:left w:val="none" w:sz="0" w:space="0" w:color="auto"/>
                                        <w:bottom w:val="none" w:sz="0" w:space="0" w:color="auto"/>
                                        <w:right w:val="none" w:sz="0" w:space="0" w:color="auto"/>
                                      </w:divBdr>
                                      <w:divsChild>
                                        <w:div w:id="308170835">
                                          <w:marLeft w:val="0"/>
                                          <w:marRight w:val="0"/>
                                          <w:marTop w:val="0"/>
                                          <w:marBottom w:val="0"/>
                                          <w:divBdr>
                                            <w:top w:val="none" w:sz="0" w:space="0" w:color="auto"/>
                                            <w:left w:val="none" w:sz="0" w:space="0" w:color="auto"/>
                                            <w:bottom w:val="none" w:sz="0" w:space="0" w:color="auto"/>
                                            <w:right w:val="none" w:sz="0" w:space="0" w:color="auto"/>
                                          </w:divBdr>
                                          <w:divsChild>
                                            <w:div w:id="853812374">
                                              <w:marLeft w:val="0"/>
                                              <w:marRight w:val="0"/>
                                              <w:marTop w:val="0"/>
                                              <w:marBottom w:val="0"/>
                                              <w:divBdr>
                                                <w:top w:val="none" w:sz="0" w:space="0" w:color="auto"/>
                                                <w:left w:val="none" w:sz="0" w:space="0" w:color="auto"/>
                                                <w:bottom w:val="none" w:sz="0" w:space="0" w:color="auto"/>
                                                <w:right w:val="none" w:sz="0" w:space="0" w:color="auto"/>
                                              </w:divBdr>
                                              <w:divsChild>
                                                <w:div w:id="933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099126">
      <w:bodyDiv w:val="1"/>
      <w:marLeft w:val="0"/>
      <w:marRight w:val="0"/>
      <w:marTop w:val="0"/>
      <w:marBottom w:val="0"/>
      <w:divBdr>
        <w:top w:val="none" w:sz="0" w:space="0" w:color="auto"/>
        <w:left w:val="none" w:sz="0" w:space="0" w:color="auto"/>
        <w:bottom w:val="none" w:sz="0" w:space="0" w:color="auto"/>
        <w:right w:val="none" w:sz="0" w:space="0" w:color="auto"/>
      </w:divBdr>
      <w:divsChild>
        <w:div w:id="1574586702">
          <w:marLeft w:val="0"/>
          <w:marRight w:val="0"/>
          <w:marTop w:val="0"/>
          <w:marBottom w:val="0"/>
          <w:divBdr>
            <w:top w:val="none" w:sz="0" w:space="0" w:color="auto"/>
            <w:left w:val="none" w:sz="0" w:space="0" w:color="auto"/>
            <w:bottom w:val="none" w:sz="0" w:space="0" w:color="auto"/>
            <w:right w:val="none" w:sz="0" w:space="0" w:color="auto"/>
          </w:divBdr>
          <w:divsChild>
            <w:div w:id="2082360154">
              <w:marLeft w:val="0"/>
              <w:marRight w:val="0"/>
              <w:marTop w:val="0"/>
              <w:marBottom w:val="0"/>
              <w:divBdr>
                <w:top w:val="none" w:sz="0" w:space="0" w:color="auto"/>
                <w:left w:val="none" w:sz="0" w:space="0" w:color="auto"/>
                <w:bottom w:val="none" w:sz="0" w:space="0" w:color="auto"/>
                <w:right w:val="none" w:sz="0" w:space="0" w:color="auto"/>
              </w:divBdr>
              <w:divsChild>
                <w:div w:id="1479610569">
                  <w:marLeft w:val="0"/>
                  <w:marRight w:val="0"/>
                  <w:marTop w:val="0"/>
                  <w:marBottom w:val="0"/>
                  <w:divBdr>
                    <w:top w:val="none" w:sz="0" w:space="0" w:color="auto"/>
                    <w:left w:val="none" w:sz="0" w:space="0" w:color="auto"/>
                    <w:bottom w:val="none" w:sz="0" w:space="0" w:color="auto"/>
                    <w:right w:val="none" w:sz="0" w:space="0" w:color="auto"/>
                  </w:divBdr>
                  <w:divsChild>
                    <w:div w:id="781531839">
                      <w:marLeft w:val="0"/>
                      <w:marRight w:val="0"/>
                      <w:marTop w:val="0"/>
                      <w:marBottom w:val="0"/>
                      <w:divBdr>
                        <w:top w:val="none" w:sz="0" w:space="0" w:color="auto"/>
                        <w:left w:val="none" w:sz="0" w:space="0" w:color="auto"/>
                        <w:bottom w:val="none" w:sz="0" w:space="0" w:color="auto"/>
                        <w:right w:val="none" w:sz="0" w:space="0" w:color="auto"/>
                      </w:divBdr>
                      <w:divsChild>
                        <w:div w:id="1808552657">
                          <w:marLeft w:val="0"/>
                          <w:marRight w:val="0"/>
                          <w:marTop w:val="0"/>
                          <w:marBottom w:val="0"/>
                          <w:divBdr>
                            <w:top w:val="none" w:sz="0" w:space="0" w:color="auto"/>
                            <w:left w:val="none" w:sz="0" w:space="0" w:color="auto"/>
                            <w:bottom w:val="none" w:sz="0" w:space="0" w:color="auto"/>
                            <w:right w:val="none" w:sz="0" w:space="0" w:color="auto"/>
                          </w:divBdr>
                          <w:divsChild>
                            <w:div w:id="1243293788">
                              <w:marLeft w:val="0"/>
                              <w:marRight w:val="0"/>
                              <w:marTop w:val="0"/>
                              <w:marBottom w:val="0"/>
                              <w:divBdr>
                                <w:top w:val="none" w:sz="0" w:space="0" w:color="auto"/>
                                <w:left w:val="none" w:sz="0" w:space="0" w:color="auto"/>
                                <w:bottom w:val="none" w:sz="0" w:space="0" w:color="auto"/>
                                <w:right w:val="none" w:sz="0" w:space="0" w:color="auto"/>
                              </w:divBdr>
                              <w:divsChild>
                                <w:div w:id="1807506520">
                                  <w:marLeft w:val="0"/>
                                  <w:marRight w:val="0"/>
                                  <w:marTop w:val="0"/>
                                  <w:marBottom w:val="120"/>
                                  <w:divBdr>
                                    <w:top w:val="none" w:sz="0" w:space="0" w:color="auto"/>
                                    <w:left w:val="none" w:sz="0" w:space="0" w:color="auto"/>
                                    <w:bottom w:val="none" w:sz="0" w:space="0" w:color="auto"/>
                                    <w:right w:val="none" w:sz="0" w:space="0" w:color="auto"/>
                                  </w:divBdr>
                                  <w:divsChild>
                                    <w:div w:id="2008052697">
                                      <w:marLeft w:val="0"/>
                                      <w:marRight w:val="0"/>
                                      <w:marTop w:val="0"/>
                                      <w:marBottom w:val="0"/>
                                      <w:divBdr>
                                        <w:top w:val="none" w:sz="0" w:space="0" w:color="auto"/>
                                        <w:left w:val="none" w:sz="0" w:space="0" w:color="auto"/>
                                        <w:bottom w:val="none" w:sz="0" w:space="0" w:color="auto"/>
                                        <w:right w:val="none" w:sz="0" w:space="0" w:color="auto"/>
                                      </w:divBdr>
                                      <w:divsChild>
                                        <w:div w:id="1717120176">
                                          <w:marLeft w:val="0"/>
                                          <w:marRight w:val="0"/>
                                          <w:marTop w:val="0"/>
                                          <w:marBottom w:val="0"/>
                                          <w:divBdr>
                                            <w:top w:val="none" w:sz="0" w:space="0" w:color="auto"/>
                                            <w:left w:val="none" w:sz="0" w:space="0" w:color="auto"/>
                                            <w:bottom w:val="none" w:sz="0" w:space="0" w:color="auto"/>
                                            <w:right w:val="none" w:sz="0" w:space="0" w:color="auto"/>
                                          </w:divBdr>
                                          <w:divsChild>
                                            <w:div w:id="1816750106">
                                              <w:marLeft w:val="0"/>
                                              <w:marRight w:val="0"/>
                                              <w:marTop w:val="0"/>
                                              <w:marBottom w:val="0"/>
                                              <w:divBdr>
                                                <w:top w:val="none" w:sz="0" w:space="0" w:color="auto"/>
                                                <w:left w:val="none" w:sz="0" w:space="0" w:color="auto"/>
                                                <w:bottom w:val="none" w:sz="0" w:space="0" w:color="auto"/>
                                                <w:right w:val="none" w:sz="0" w:space="0" w:color="auto"/>
                                              </w:divBdr>
                                              <w:divsChild>
                                                <w:div w:id="5421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chm.pops.int/Portals/0/download.aspx?d=UNEP-POPS-EXEM-CERTIF-IMPORT.E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http://chm.pops.int/Implementation/Exemptions/ExporttoanonPartyState/tabid/2573/Defaul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www.unep.fr/ozonaction/information/mmcfiles/3328-e.pdf" TargetMode="External"/><Relationship Id="rId3" Type="http://schemas.openxmlformats.org/officeDocument/2006/relationships/hyperlink" Target="http://chm.pops.int/Implementation/Exemptions/ExporttoanonPartyState/tabid/2573/Default.aspx" TargetMode="External"/><Relationship Id="rId7" Type="http://schemas.openxmlformats.org/officeDocument/2006/relationships/hyperlink" Target="http://www.pic.int/TheConvention/Chemicals/AnnexIIIChemicals/HarmonizedSystemCodes/tabid/1159/language/en-US/Default.aspx" TargetMode="External"/><Relationship Id="rId2" Type="http://schemas.openxmlformats.org/officeDocument/2006/relationships/hyperlink" Target="http://chm.pops.int/Implementation/Exemptions/Articlesinuse/tabid/452/Default.aspx" TargetMode="External"/><Relationship Id="rId1" Type="http://schemas.openxmlformats.org/officeDocument/2006/relationships/hyperlink" Target="http://www.unep.fr/ozonaction/information/mmcfiles/3328-e.pdf" TargetMode="External"/><Relationship Id="rId6" Type="http://schemas.openxmlformats.org/officeDocument/2006/relationships/hyperlink" Target="http://chm.pops.int/Implementation/Exemptions/AcceptablepurposesPFOSandPFOSFRegister/tabid/794/Default.aspx" TargetMode="External"/><Relationship Id="rId5" Type="http://schemas.openxmlformats.org/officeDocument/2006/relationships/hyperlink" Target="http://chm.pops.int/Implementation/Exemptions/AcceptablepurposesDDTRegister/tabid/456/Default.aspx" TargetMode="External"/><Relationship Id="rId4" Type="http://schemas.openxmlformats.org/officeDocument/2006/relationships/hyperlink" Target="http://chm.pops.int/Implementation/Exemptions/RegisterofSpecificExemptions/tabid/1133/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71002-FE93-41D8-8842-C5C46771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6713</Words>
  <Characters>37755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Introduction</vt:lpstr>
    </vt:vector>
  </TitlesOfParts>
  <Company>CONVENTIONS</Company>
  <LinksUpToDate>false</LinksUpToDate>
  <CharactersWithSpaces>44380</CharactersWithSpaces>
  <SharedDoc>false</SharedDoc>
  <HLinks>
    <vt:vector size="180" baseType="variant">
      <vt:variant>
        <vt:i4>1900597</vt:i4>
      </vt:variant>
      <vt:variant>
        <vt:i4>134</vt:i4>
      </vt:variant>
      <vt:variant>
        <vt:i4>0</vt:i4>
      </vt:variant>
      <vt:variant>
        <vt:i4>5</vt:i4>
      </vt:variant>
      <vt:variant>
        <vt:lpwstr/>
      </vt:variant>
      <vt:variant>
        <vt:lpwstr>_Toc326160698</vt:lpwstr>
      </vt:variant>
      <vt:variant>
        <vt:i4>1900597</vt:i4>
      </vt:variant>
      <vt:variant>
        <vt:i4>128</vt:i4>
      </vt:variant>
      <vt:variant>
        <vt:i4>0</vt:i4>
      </vt:variant>
      <vt:variant>
        <vt:i4>5</vt:i4>
      </vt:variant>
      <vt:variant>
        <vt:lpwstr/>
      </vt:variant>
      <vt:variant>
        <vt:lpwstr>_Toc326160697</vt:lpwstr>
      </vt:variant>
      <vt:variant>
        <vt:i4>1900597</vt:i4>
      </vt:variant>
      <vt:variant>
        <vt:i4>122</vt:i4>
      </vt:variant>
      <vt:variant>
        <vt:i4>0</vt:i4>
      </vt:variant>
      <vt:variant>
        <vt:i4>5</vt:i4>
      </vt:variant>
      <vt:variant>
        <vt:lpwstr/>
      </vt:variant>
      <vt:variant>
        <vt:lpwstr>_Toc326160696</vt:lpwstr>
      </vt:variant>
      <vt:variant>
        <vt:i4>1900597</vt:i4>
      </vt:variant>
      <vt:variant>
        <vt:i4>116</vt:i4>
      </vt:variant>
      <vt:variant>
        <vt:i4>0</vt:i4>
      </vt:variant>
      <vt:variant>
        <vt:i4>5</vt:i4>
      </vt:variant>
      <vt:variant>
        <vt:lpwstr/>
      </vt:variant>
      <vt:variant>
        <vt:lpwstr>_Toc326160695</vt:lpwstr>
      </vt:variant>
      <vt:variant>
        <vt:i4>1900597</vt:i4>
      </vt:variant>
      <vt:variant>
        <vt:i4>110</vt:i4>
      </vt:variant>
      <vt:variant>
        <vt:i4>0</vt:i4>
      </vt:variant>
      <vt:variant>
        <vt:i4>5</vt:i4>
      </vt:variant>
      <vt:variant>
        <vt:lpwstr/>
      </vt:variant>
      <vt:variant>
        <vt:lpwstr>_Toc326160694</vt:lpwstr>
      </vt:variant>
      <vt:variant>
        <vt:i4>1900597</vt:i4>
      </vt:variant>
      <vt:variant>
        <vt:i4>104</vt:i4>
      </vt:variant>
      <vt:variant>
        <vt:i4>0</vt:i4>
      </vt:variant>
      <vt:variant>
        <vt:i4>5</vt:i4>
      </vt:variant>
      <vt:variant>
        <vt:lpwstr/>
      </vt:variant>
      <vt:variant>
        <vt:lpwstr>_Toc326160693</vt:lpwstr>
      </vt:variant>
      <vt:variant>
        <vt:i4>1900597</vt:i4>
      </vt:variant>
      <vt:variant>
        <vt:i4>98</vt:i4>
      </vt:variant>
      <vt:variant>
        <vt:i4>0</vt:i4>
      </vt:variant>
      <vt:variant>
        <vt:i4>5</vt:i4>
      </vt:variant>
      <vt:variant>
        <vt:lpwstr/>
      </vt:variant>
      <vt:variant>
        <vt:lpwstr>_Toc326160692</vt:lpwstr>
      </vt:variant>
      <vt:variant>
        <vt:i4>1900597</vt:i4>
      </vt:variant>
      <vt:variant>
        <vt:i4>92</vt:i4>
      </vt:variant>
      <vt:variant>
        <vt:i4>0</vt:i4>
      </vt:variant>
      <vt:variant>
        <vt:i4>5</vt:i4>
      </vt:variant>
      <vt:variant>
        <vt:lpwstr/>
      </vt:variant>
      <vt:variant>
        <vt:lpwstr>_Toc326160691</vt:lpwstr>
      </vt:variant>
      <vt:variant>
        <vt:i4>1900597</vt:i4>
      </vt:variant>
      <vt:variant>
        <vt:i4>86</vt:i4>
      </vt:variant>
      <vt:variant>
        <vt:i4>0</vt:i4>
      </vt:variant>
      <vt:variant>
        <vt:i4>5</vt:i4>
      </vt:variant>
      <vt:variant>
        <vt:lpwstr/>
      </vt:variant>
      <vt:variant>
        <vt:lpwstr>_Toc326160690</vt:lpwstr>
      </vt:variant>
      <vt:variant>
        <vt:i4>1835061</vt:i4>
      </vt:variant>
      <vt:variant>
        <vt:i4>80</vt:i4>
      </vt:variant>
      <vt:variant>
        <vt:i4>0</vt:i4>
      </vt:variant>
      <vt:variant>
        <vt:i4>5</vt:i4>
      </vt:variant>
      <vt:variant>
        <vt:lpwstr/>
      </vt:variant>
      <vt:variant>
        <vt:lpwstr>_Toc326160689</vt:lpwstr>
      </vt:variant>
      <vt:variant>
        <vt:i4>1835061</vt:i4>
      </vt:variant>
      <vt:variant>
        <vt:i4>74</vt:i4>
      </vt:variant>
      <vt:variant>
        <vt:i4>0</vt:i4>
      </vt:variant>
      <vt:variant>
        <vt:i4>5</vt:i4>
      </vt:variant>
      <vt:variant>
        <vt:lpwstr/>
      </vt:variant>
      <vt:variant>
        <vt:lpwstr>_Toc326160688</vt:lpwstr>
      </vt:variant>
      <vt:variant>
        <vt:i4>1835061</vt:i4>
      </vt:variant>
      <vt:variant>
        <vt:i4>68</vt:i4>
      </vt:variant>
      <vt:variant>
        <vt:i4>0</vt:i4>
      </vt:variant>
      <vt:variant>
        <vt:i4>5</vt:i4>
      </vt:variant>
      <vt:variant>
        <vt:lpwstr/>
      </vt:variant>
      <vt:variant>
        <vt:lpwstr>_Toc326160687</vt:lpwstr>
      </vt:variant>
      <vt:variant>
        <vt:i4>1835061</vt:i4>
      </vt:variant>
      <vt:variant>
        <vt:i4>62</vt:i4>
      </vt:variant>
      <vt:variant>
        <vt:i4>0</vt:i4>
      </vt:variant>
      <vt:variant>
        <vt:i4>5</vt:i4>
      </vt:variant>
      <vt:variant>
        <vt:lpwstr/>
      </vt:variant>
      <vt:variant>
        <vt:lpwstr>_Toc326160686</vt:lpwstr>
      </vt:variant>
      <vt:variant>
        <vt:i4>1835061</vt:i4>
      </vt:variant>
      <vt:variant>
        <vt:i4>56</vt:i4>
      </vt:variant>
      <vt:variant>
        <vt:i4>0</vt:i4>
      </vt:variant>
      <vt:variant>
        <vt:i4>5</vt:i4>
      </vt:variant>
      <vt:variant>
        <vt:lpwstr/>
      </vt:variant>
      <vt:variant>
        <vt:lpwstr>_Toc326160685</vt:lpwstr>
      </vt:variant>
      <vt:variant>
        <vt:i4>1835061</vt:i4>
      </vt:variant>
      <vt:variant>
        <vt:i4>50</vt:i4>
      </vt:variant>
      <vt:variant>
        <vt:i4>0</vt:i4>
      </vt:variant>
      <vt:variant>
        <vt:i4>5</vt:i4>
      </vt:variant>
      <vt:variant>
        <vt:lpwstr/>
      </vt:variant>
      <vt:variant>
        <vt:lpwstr>_Toc326160684</vt:lpwstr>
      </vt:variant>
      <vt:variant>
        <vt:i4>1835061</vt:i4>
      </vt:variant>
      <vt:variant>
        <vt:i4>44</vt:i4>
      </vt:variant>
      <vt:variant>
        <vt:i4>0</vt:i4>
      </vt:variant>
      <vt:variant>
        <vt:i4>5</vt:i4>
      </vt:variant>
      <vt:variant>
        <vt:lpwstr/>
      </vt:variant>
      <vt:variant>
        <vt:lpwstr>_Toc326160683</vt:lpwstr>
      </vt:variant>
      <vt:variant>
        <vt:i4>1835061</vt:i4>
      </vt:variant>
      <vt:variant>
        <vt:i4>38</vt:i4>
      </vt:variant>
      <vt:variant>
        <vt:i4>0</vt:i4>
      </vt:variant>
      <vt:variant>
        <vt:i4>5</vt:i4>
      </vt:variant>
      <vt:variant>
        <vt:lpwstr/>
      </vt:variant>
      <vt:variant>
        <vt:lpwstr>_Toc326160682</vt:lpwstr>
      </vt:variant>
      <vt:variant>
        <vt:i4>1835061</vt:i4>
      </vt:variant>
      <vt:variant>
        <vt:i4>32</vt:i4>
      </vt:variant>
      <vt:variant>
        <vt:i4>0</vt:i4>
      </vt:variant>
      <vt:variant>
        <vt:i4>5</vt:i4>
      </vt:variant>
      <vt:variant>
        <vt:lpwstr/>
      </vt:variant>
      <vt:variant>
        <vt:lpwstr>_Toc326160681</vt:lpwstr>
      </vt:variant>
      <vt:variant>
        <vt:i4>1835061</vt:i4>
      </vt:variant>
      <vt:variant>
        <vt:i4>26</vt:i4>
      </vt:variant>
      <vt:variant>
        <vt:i4>0</vt:i4>
      </vt:variant>
      <vt:variant>
        <vt:i4>5</vt:i4>
      </vt:variant>
      <vt:variant>
        <vt:lpwstr/>
      </vt:variant>
      <vt:variant>
        <vt:lpwstr>_Toc326160680</vt:lpwstr>
      </vt:variant>
      <vt:variant>
        <vt:i4>1245237</vt:i4>
      </vt:variant>
      <vt:variant>
        <vt:i4>20</vt:i4>
      </vt:variant>
      <vt:variant>
        <vt:i4>0</vt:i4>
      </vt:variant>
      <vt:variant>
        <vt:i4>5</vt:i4>
      </vt:variant>
      <vt:variant>
        <vt:lpwstr/>
      </vt:variant>
      <vt:variant>
        <vt:lpwstr>_Toc326160679</vt:lpwstr>
      </vt:variant>
      <vt:variant>
        <vt:i4>1245237</vt:i4>
      </vt:variant>
      <vt:variant>
        <vt:i4>14</vt:i4>
      </vt:variant>
      <vt:variant>
        <vt:i4>0</vt:i4>
      </vt:variant>
      <vt:variant>
        <vt:i4>5</vt:i4>
      </vt:variant>
      <vt:variant>
        <vt:lpwstr/>
      </vt:variant>
      <vt:variant>
        <vt:lpwstr>_Toc326160678</vt:lpwstr>
      </vt:variant>
      <vt:variant>
        <vt:i4>1245237</vt:i4>
      </vt:variant>
      <vt:variant>
        <vt:i4>8</vt:i4>
      </vt:variant>
      <vt:variant>
        <vt:i4>0</vt:i4>
      </vt:variant>
      <vt:variant>
        <vt:i4>5</vt:i4>
      </vt:variant>
      <vt:variant>
        <vt:lpwstr/>
      </vt:variant>
      <vt:variant>
        <vt:lpwstr>_Toc326160677</vt:lpwstr>
      </vt:variant>
      <vt:variant>
        <vt:i4>1245237</vt:i4>
      </vt:variant>
      <vt:variant>
        <vt:i4>2</vt:i4>
      </vt:variant>
      <vt:variant>
        <vt:i4>0</vt:i4>
      </vt:variant>
      <vt:variant>
        <vt:i4>5</vt:i4>
      </vt:variant>
      <vt:variant>
        <vt:lpwstr/>
      </vt:variant>
      <vt:variant>
        <vt:lpwstr>_Toc326160676</vt:lpwstr>
      </vt:variant>
      <vt:variant>
        <vt:i4>1572959</vt:i4>
      </vt:variant>
      <vt:variant>
        <vt:i4>18</vt:i4>
      </vt:variant>
      <vt:variant>
        <vt:i4>0</vt:i4>
      </vt:variant>
      <vt:variant>
        <vt:i4>5</vt:i4>
      </vt:variant>
      <vt:variant>
        <vt:lpwstr>http://www.unep.fr/ozonaction/information/mmcfiles/3328-e.pdf</vt:lpwstr>
      </vt:variant>
      <vt:variant>
        <vt:lpwstr/>
      </vt:variant>
      <vt:variant>
        <vt:i4>4194369</vt:i4>
      </vt:variant>
      <vt:variant>
        <vt:i4>15</vt:i4>
      </vt:variant>
      <vt:variant>
        <vt:i4>0</vt:i4>
      </vt:variant>
      <vt:variant>
        <vt:i4>5</vt:i4>
      </vt:variant>
      <vt:variant>
        <vt:lpwstr>http://www.pic.int/TheConvention/Chemicals/AnnexIIIChemicals/HarmonizedSystemCodes/tabid/1159/language/en-US/Default.aspx</vt:lpwstr>
      </vt:variant>
      <vt:variant>
        <vt:lpwstr/>
      </vt:variant>
      <vt:variant>
        <vt:i4>7143482</vt:i4>
      </vt:variant>
      <vt:variant>
        <vt:i4>12</vt:i4>
      </vt:variant>
      <vt:variant>
        <vt:i4>0</vt:i4>
      </vt:variant>
      <vt:variant>
        <vt:i4>5</vt:i4>
      </vt:variant>
      <vt:variant>
        <vt:lpwstr>http://chm.pops.int/Implementation/Exemptions/AcceptablepurposesPFOSandPFOSFRegister/tabid/794/Default.aspx</vt:lpwstr>
      </vt:variant>
      <vt:variant>
        <vt:lpwstr/>
      </vt:variant>
      <vt:variant>
        <vt:i4>4063333</vt:i4>
      </vt:variant>
      <vt:variant>
        <vt:i4>9</vt:i4>
      </vt:variant>
      <vt:variant>
        <vt:i4>0</vt:i4>
      </vt:variant>
      <vt:variant>
        <vt:i4>5</vt:i4>
      </vt:variant>
      <vt:variant>
        <vt:lpwstr>http://chm.pops.int/Implementation/Exemptions/AcceptablepurposesDDTRegister/tabid/456/Default.aspx</vt:lpwstr>
      </vt:variant>
      <vt:variant>
        <vt:lpwstr/>
      </vt:variant>
      <vt:variant>
        <vt:i4>6488191</vt:i4>
      </vt:variant>
      <vt:variant>
        <vt:i4>6</vt:i4>
      </vt:variant>
      <vt:variant>
        <vt:i4>0</vt:i4>
      </vt:variant>
      <vt:variant>
        <vt:i4>5</vt:i4>
      </vt:variant>
      <vt:variant>
        <vt:lpwstr>http://chm.pops.int/Implementation/Exemptions/RegisterofSpecificExemptions/tabid/1133/Default.aspx</vt:lpwstr>
      </vt:variant>
      <vt:variant>
        <vt:lpwstr/>
      </vt:variant>
      <vt:variant>
        <vt:i4>3145830</vt:i4>
      </vt:variant>
      <vt:variant>
        <vt:i4>3</vt:i4>
      </vt:variant>
      <vt:variant>
        <vt:i4>0</vt:i4>
      </vt:variant>
      <vt:variant>
        <vt:i4>5</vt:i4>
      </vt:variant>
      <vt:variant>
        <vt:lpwstr>http://chm.pops.int/Implementation/Exemptions/Articlesinuse/tabid/452/Default.aspx</vt:lpwstr>
      </vt:variant>
      <vt:variant>
        <vt:lpwstr/>
      </vt:variant>
      <vt:variant>
        <vt:i4>1572959</vt:i4>
      </vt:variant>
      <vt:variant>
        <vt:i4>0</vt:i4>
      </vt:variant>
      <vt:variant>
        <vt:i4>0</vt:i4>
      </vt:variant>
      <vt:variant>
        <vt:i4>5</vt:i4>
      </vt:variant>
      <vt:variant>
        <vt:lpwstr>http://www.unep.fr/ozonaction/information/mmcfiles/3328-e.pdf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mlim</dc:creator>
  <cp:lastModifiedBy>jalvarez</cp:lastModifiedBy>
  <cp:revision>4</cp:revision>
  <cp:lastPrinted>2012-10-19T08:32:00Z</cp:lastPrinted>
  <dcterms:created xsi:type="dcterms:W3CDTF">2012-10-19T08:51:00Z</dcterms:created>
  <dcterms:modified xsi:type="dcterms:W3CDTF">2012-10-19T14:36:00Z</dcterms:modified>
</cp:coreProperties>
</file>