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EC" w:rsidRDefault="003934EC" w:rsidP="003934EC">
      <w:pPr>
        <w:pStyle w:val="Heading2"/>
        <w:numPr>
          <w:ilvl w:val="0"/>
          <w:numId w:val="0"/>
        </w:numPr>
        <w:ind w:left="1170" w:hanging="1170"/>
        <w:jc w:val="center"/>
        <w:rPr>
          <w:sz w:val="36"/>
          <w:szCs w:val="36"/>
        </w:rPr>
      </w:pPr>
      <w:bookmarkStart w:id="0" w:name="_Toc324508906"/>
      <w:bookmarkStart w:id="1" w:name="_Toc336255752"/>
      <w:r w:rsidRPr="00F61770">
        <w:rPr>
          <w:sz w:val="36"/>
          <w:szCs w:val="36"/>
        </w:rPr>
        <w:t>Case study in a hypothetical country A on POP-PBDEs in the Transport Sector</w:t>
      </w:r>
      <w:bookmarkEnd w:id="0"/>
      <w:bookmarkEnd w:id="1"/>
    </w:p>
    <w:p w:rsidR="00F61770" w:rsidRDefault="00F61770" w:rsidP="00F61770"/>
    <w:p w:rsidR="00F61770" w:rsidRDefault="00F61770" w:rsidP="00F61770"/>
    <w:p w:rsidR="00F61770" w:rsidRDefault="00F61770" w:rsidP="00F61770"/>
    <w:p w:rsidR="00F61770" w:rsidRDefault="00F61770" w:rsidP="00F61770"/>
    <w:p w:rsidR="00F61770" w:rsidRDefault="00F61770" w:rsidP="00F61770"/>
    <w:p w:rsidR="00F61770" w:rsidRDefault="00F61770" w:rsidP="00F61770"/>
    <w:p w:rsidR="00F61770" w:rsidRDefault="00F61770" w:rsidP="00F61770"/>
    <w:p w:rsidR="00F61770" w:rsidRDefault="00F61770" w:rsidP="00F61770"/>
    <w:p w:rsidR="00F61770" w:rsidRDefault="00F61770" w:rsidP="00F61770"/>
    <w:p w:rsidR="00FC475E" w:rsidRDefault="00FC475E" w:rsidP="00F61770"/>
    <w:p w:rsidR="00FC475E" w:rsidRDefault="00FC475E" w:rsidP="00F61770"/>
    <w:p w:rsidR="00FC475E" w:rsidRDefault="00FC475E" w:rsidP="00F61770"/>
    <w:p w:rsidR="00FC475E" w:rsidRDefault="00FC475E" w:rsidP="00F61770"/>
    <w:p w:rsidR="00FC475E" w:rsidRDefault="00FC475E" w:rsidP="00F61770"/>
    <w:p w:rsidR="00F61770" w:rsidRDefault="00F61770" w:rsidP="00F61770"/>
    <w:p w:rsidR="00F61770" w:rsidRDefault="00F61770" w:rsidP="00F61770"/>
    <w:p w:rsidR="00F61770" w:rsidRPr="00F97387" w:rsidRDefault="00F61770" w:rsidP="00F61770">
      <w:pPr>
        <w:jc w:val="center"/>
        <w:rPr>
          <w:sz w:val="32"/>
          <w:szCs w:val="32"/>
        </w:rPr>
      </w:pPr>
      <w:r>
        <w:rPr>
          <w:sz w:val="32"/>
          <w:szCs w:val="32"/>
        </w:rPr>
        <w:t>July</w:t>
      </w:r>
      <w:r w:rsidRPr="00F97387">
        <w:rPr>
          <w:sz w:val="32"/>
          <w:szCs w:val="32"/>
        </w:rPr>
        <w:t xml:space="preserve"> 2012</w:t>
      </w:r>
    </w:p>
    <w:p w:rsidR="00F61770" w:rsidRDefault="00F61770" w:rsidP="00F61770"/>
    <w:p w:rsidR="00F61770" w:rsidRDefault="00F61770" w:rsidP="00F61770"/>
    <w:p w:rsidR="00FC475E" w:rsidRDefault="00FC475E" w:rsidP="00F61770"/>
    <w:p w:rsidR="00FC475E" w:rsidRDefault="00FC475E" w:rsidP="00F61770"/>
    <w:p w:rsidR="00F61770" w:rsidRDefault="00EF4C8F">
      <w:pPr>
        <w:snapToGrid/>
        <w:spacing w:after="200" w:line="276" w:lineRule="auto"/>
        <w:jc w:val="left"/>
      </w:pPr>
      <w:r>
        <w:rPr>
          <w:noProof/>
          <w:lang w:val="en-US"/>
        </w:rPr>
        <w:pict>
          <v:group id="_x0000_s2050" style="position:absolute;margin-left:-4.65pt;margin-top:135.65pt;width:490.45pt;height:51.45pt;z-index:-251658240" coordorigin="581,10348" coordsize="9809,1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81;top:10386;width:1136;height:954">
              <v:imagedata r:id="rId7" o:title="" cropright="57821f"/>
            </v:shape>
            <v:shape id="_x0000_s2052" type="#_x0000_t75" style="position:absolute;left:6743;top:10423;width:1451;height:954">
              <v:imagedata r:id="rId7" o:title="" cropleft="46324f" cropright="9358f"/>
            </v:shape>
            <v:shape id="_x0000_s2053" type="#_x0000_t75" style="position:absolute;left:8350;top:10404;width:880;height:954">
              <v:imagedata r:id="rId7" o:title="" cropleft="59560f"/>
            </v:shape>
            <v:shape id="_x0000_s2054" type="#_x0000_t75" style="position:absolute;left:1890;top:10406;width:4713;height:954">
              <v:imagedata r:id="rId7" o:title="" cropleft="11158f" cropright="22371f"/>
            </v:shape>
            <v:shape id="_x0000_s2055" type="#_x0000_t75" style="position:absolute;left:9382;top:10348;width:1008;height:1008">
              <v:imagedata r:id="rId8" o:title=""/>
            </v:shape>
          </v:group>
        </w:pict>
      </w:r>
      <w:r w:rsidR="00F61770">
        <w:br w:type="page"/>
      </w:r>
    </w:p>
    <w:p w:rsidR="00F61770" w:rsidRDefault="00F61770" w:rsidP="00F61770"/>
    <w:tbl>
      <w:tblPr>
        <w:tblpPr w:leftFromText="180" w:rightFromText="180" w:vertAnchor="text" w:horzAnchor="margin" w:tblpY="10106"/>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tblPr>
      <w:tblGrid>
        <w:gridCol w:w="9072"/>
      </w:tblGrid>
      <w:tr w:rsidR="00F61770" w:rsidRPr="00703E0E" w:rsidTr="00FC475E">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rsidR="00F61770" w:rsidRPr="00693598" w:rsidRDefault="00F61770" w:rsidP="00FC475E">
            <w:pPr>
              <w:jc w:val="center"/>
              <w:rPr>
                <w:rFonts w:cs="Calibri"/>
                <w:b/>
              </w:rPr>
            </w:pPr>
            <w:r w:rsidRPr="00693598">
              <w:rPr>
                <w:rFonts w:cs="Calibri"/>
                <w:b/>
              </w:rPr>
              <w:t>Disclaimer</w:t>
            </w:r>
          </w:p>
          <w:p w:rsidR="00F61770" w:rsidRPr="00693598" w:rsidRDefault="00F61770" w:rsidP="007D7DA6">
            <w:r w:rsidRPr="00693598">
              <w:rPr>
                <w:rFonts w:cs="Calibri"/>
              </w:rPr>
              <w:t>The vie</w:t>
            </w:r>
            <w:r w:rsidR="00EF0ECD">
              <w:rPr>
                <w:rFonts w:cs="Calibri"/>
              </w:rPr>
              <w:t>ws expressed in this case study</w:t>
            </w:r>
            <w:r w:rsidRPr="00693598">
              <w:rPr>
                <w:rFonts w:cs="Calibri"/>
              </w:rPr>
              <w:t xml:space="preserve"> do not necessarily reflect the views of the Secretariat of the Stockholm Convention (SSC), the United Nations Environment Programme (UNEP), the United Nations Industrial Development Organization (UNIDO), the United Nations Institute for Training and Research (UNITAR), the United Nations (UN) or other contributory organizations. SSC, UNEP, UNIDO, UNITAR  or the UN do not accept responsibility for the accuracy or completeness of the contents and shall not be liable for any loss or damage that may be occasioned, directly or indirectly, through the use of, or reliance on, the contents of this </w:t>
            </w:r>
            <w:r w:rsidR="00EF0ECD">
              <w:rPr>
                <w:rFonts w:cs="Calibri"/>
              </w:rPr>
              <w:t>case study</w:t>
            </w:r>
            <w:r w:rsidRPr="00693598">
              <w:rPr>
                <w:rFonts w:cs="Calibri"/>
              </w:rPr>
              <w:t xml:space="preserve">. </w:t>
            </w:r>
          </w:p>
        </w:tc>
      </w:tr>
    </w:tbl>
    <w:p w:rsidR="00F61770" w:rsidRDefault="00F61770">
      <w:pPr>
        <w:snapToGrid/>
        <w:spacing w:after="200" w:line="276" w:lineRule="auto"/>
        <w:jc w:val="left"/>
      </w:pPr>
      <w:r>
        <w:br w:type="page"/>
      </w:r>
    </w:p>
    <w:p w:rsidR="00F61770" w:rsidRPr="00F61770" w:rsidRDefault="00F61770" w:rsidP="00F61770"/>
    <w:p w:rsidR="003934EC" w:rsidRPr="00407139" w:rsidRDefault="003934EC" w:rsidP="003934EC">
      <w:pPr>
        <w:spacing w:after="0" w:line="264" w:lineRule="auto"/>
        <w:rPr>
          <w:rFonts w:ascii="Times New Roman" w:hAnsi="Times New Roman"/>
          <w:sz w:val="24"/>
          <w:szCs w:val="24"/>
          <w:u w:val="single"/>
        </w:rPr>
      </w:pPr>
    </w:p>
    <w:p w:rsidR="003934EC" w:rsidRPr="00407139" w:rsidRDefault="003934EC" w:rsidP="003934EC">
      <w:pPr>
        <w:spacing w:after="0" w:line="264" w:lineRule="auto"/>
        <w:rPr>
          <w:rFonts w:eastAsia="SimSun"/>
          <w:lang w:eastAsia="zh-CN"/>
        </w:rPr>
      </w:pPr>
      <w:r w:rsidRPr="00407139">
        <w:rPr>
          <w:rFonts w:eastAsia="SimSun"/>
          <w:b/>
          <w:lang w:eastAsia="zh-CN"/>
        </w:rPr>
        <w:t>Scenario for this case study:</w:t>
      </w:r>
      <w:r w:rsidRPr="00407139">
        <w:rPr>
          <w:rFonts w:eastAsia="SimSun"/>
          <w:lang w:eastAsia="zh-CN"/>
        </w:rPr>
        <w:t xml:space="preserve"> Country A has begun the process for updating its National Implementation Plan (NIP). The National Coordination Committee (NCC) was re-established with the inclusion of additional members capable of addressing the environmentally sound management (ESM) of new POPs. </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b/>
          <w:lang w:eastAsia="zh-CN"/>
        </w:rPr>
      </w:pPr>
      <w:r w:rsidRPr="00407139">
        <w:rPr>
          <w:rFonts w:eastAsia="SimSun"/>
          <w:b/>
          <w:lang w:eastAsia="zh-CN"/>
        </w:rPr>
        <w:t>Step 1: Planning of the inventory</w:t>
      </w:r>
    </w:p>
    <w:p w:rsidR="003934EC" w:rsidRPr="00407139" w:rsidRDefault="003934EC" w:rsidP="003934EC">
      <w:pPr>
        <w:spacing w:after="0" w:line="264" w:lineRule="auto"/>
        <w:rPr>
          <w:rFonts w:eastAsia="SimSun"/>
          <w:lang w:eastAsia="zh-CN"/>
        </w:rPr>
      </w:pPr>
      <w:r w:rsidRPr="00407139">
        <w:rPr>
          <w:rFonts w:eastAsia="SimSun"/>
          <w:lang w:eastAsia="zh-CN"/>
        </w:rPr>
        <w:t>Step 1-1 (Establish a National Inventory Team): A project office lead by a National Project Coordinator (NPC) and three inventory teams (POP-PBDEs and PFOS, new POPs pesticide, and unintentional POPs) were formed in the Ministry of Environment in charge to develop their respective national inventories for new POPs while updating existing inventories for the 12 original POPs. (</w:t>
      </w:r>
      <w:proofErr w:type="gramStart"/>
      <w:r w:rsidRPr="00407139">
        <w:rPr>
          <w:rFonts w:eastAsia="SimSun"/>
          <w:lang w:eastAsia="zh-CN"/>
        </w:rPr>
        <w:t>see</w:t>
      </w:r>
      <w:proofErr w:type="gramEnd"/>
      <w:r w:rsidRPr="00407139">
        <w:rPr>
          <w:rFonts w:eastAsia="SimSun"/>
          <w:lang w:eastAsia="zh-CN"/>
        </w:rPr>
        <w:t xml:space="preserve"> the POP-PBDEs Inventory Guidance, 2.1.1 in general and 5.3)</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Step 1-2 (Define inventory objectives and scope): The project office lead the governmental effort to conduct an initial assessment by referring to the Stockholm Convention companion guide for reviewing and updating of the National Implementation Plan 2011. NPC and his team decided to conduct the POP-PBDEs inventory for the electric appliances / wastes and end-of-life vehicles, as suggested by the POP-PBDEs Inventory Guidance (see the POP-PBDEs Inventory Guidance, 2.1.2).  </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Step 1-3 (Develop the work plan for a national inventory): The overall work plan for NIP update was set as found below, while the output and activities for the inventory for POP-PBDEs were articulated in Output 2.2 of the work plan attached below (See the POP-PBDEs Inventory Guidance, 2.1.3). </w:t>
      </w: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sectPr w:rsidR="003934EC" w:rsidRPr="00407139" w:rsidSect="00743E40">
          <w:headerReference w:type="even" r:id="rId9"/>
          <w:headerReference w:type="default" r:id="rId10"/>
          <w:pgSz w:w="11907" w:h="16840" w:code="9"/>
          <w:pgMar w:top="1440" w:right="1080" w:bottom="1440" w:left="1080" w:header="720" w:footer="720" w:gutter="0"/>
          <w:cols w:space="720"/>
          <w:docGrid w:linePitch="360"/>
        </w:sectPr>
      </w:pPr>
    </w:p>
    <w:p w:rsidR="003934EC" w:rsidRPr="00407139" w:rsidRDefault="003934EC" w:rsidP="003934EC">
      <w:pPr>
        <w:spacing w:after="0" w:line="264" w:lineRule="auto"/>
        <w:rPr>
          <w:rFonts w:ascii="Times New Roman" w:eastAsia="SimSun" w:hAnsi="Times New Roman"/>
          <w:sz w:val="24"/>
          <w:szCs w:val="24"/>
          <w:lang w:eastAsia="zh-CN"/>
        </w:rPr>
      </w:pPr>
      <w:r w:rsidRPr="00407139">
        <w:rPr>
          <w:noProof/>
          <w:lang w:val="en-US"/>
        </w:rPr>
        <w:lastRenderedPageBreak/>
        <w:drawing>
          <wp:anchor distT="0" distB="0" distL="114300" distR="114300" simplePos="0" relativeHeight="251659264" behindDoc="0" locked="0" layoutInCell="1" allowOverlap="1">
            <wp:simplePos x="0" y="0"/>
            <wp:positionH relativeFrom="column">
              <wp:posOffset>488950</wp:posOffset>
            </wp:positionH>
            <wp:positionV relativeFrom="paragraph">
              <wp:posOffset>-134620</wp:posOffset>
            </wp:positionV>
            <wp:extent cx="8801100" cy="6172200"/>
            <wp:effectExtent l="19050" t="0" r="0" b="0"/>
            <wp:wrapNone/>
            <wp:docPr id="1"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1" cstate="print"/>
                    <a:srcRect/>
                    <a:stretch>
                      <a:fillRect/>
                    </a:stretch>
                  </pic:blipFill>
                  <pic:spPr bwMode="auto">
                    <a:xfrm>
                      <a:off x="0" y="0"/>
                      <a:ext cx="8801100" cy="6172200"/>
                    </a:xfrm>
                    <a:prstGeom prst="rect">
                      <a:avLst/>
                    </a:prstGeom>
                    <a:noFill/>
                  </pic:spPr>
                </pic:pic>
              </a:graphicData>
            </a:graphic>
          </wp:anchor>
        </w:drawing>
      </w: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sectPr w:rsidR="003934EC" w:rsidRPr="00407139" w:rsidSect="00C16ED6">
          <w:pgSz w:w="16840" w:h="11907" w:orient="landscape" w:code="9"/>
          <w:pgMar w:top="1077" w:right="1440" w:bottom="1077" w:left="1440" w:header="720" w:footer="720" w:gutter="0"/>
          <w:cols w:space="720"/>
          <w:docGrid w:linePitch="360"/>
        </w:sectPr>
      </w:pPr>
    </w:p>
    <w:p w:rsidR="003934EC" w:rsidRPr="00407139" w:rsidRDefault="003934EC" w:rsidP="003934EC">
      <w:pPr>
        <w:spacing w:after="0" w:line="264" w:lineRule="auto"/>
        <w:rPr>
          <w:rFonts w:eastAsia="SimSun"/>
          <w:lang w:eastAsia="zh-CN"/>
        </w:rPr>
      </w:pPr>
      <w:r w:rsidRPr="00407139">
        <w:rPr>
          <w:rFonts w:eastAsia="SimSun"/>
          <w:lang w:eastAsia="zh-CN"/>
        </w:rPr>
        <w:lastRenderedPageBreak/>
        <w:t>The rough design of the POP-PBDEs inventory was also discussed by identifying resources, responsibilities</w:t>
      </w:r>
      <w:proofErr w:type="gramStart"/>
      <w:r w:rsidRPr="00407139">
        <w:rPr>
          <w:rFonts w:eastAsia="SimSun"/>
          <w:lang w:eastAsia="zh-CN"/>
        </w:rPr>
        <w:t>,  stakeholder</w:t>
      </w:r>
      <w:proofErr w:type="gramEnd"/>
      <w:r w:rsidRPr="00407139">
        <w:rPr>
          <w:rFonts w:eastAsia="SimSun"/>
          <w:lang w:eastAsia="zh-CN"/>
        </w:rPr>
        <w:t xml:space="preserve"> involved and budgets assigned for each activity. The details are to be determined in the later steps of the inventory.</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b/>
          <w:lang w:eastAsia="zh-CN"/>
        </w:rPr>
      </w:pPr>
      <w:r w:rsidRPr="00407139">
        <w:rPr>
          <w:rFonts w:eastAsia="SimSun"/>
          <w:b/>
          <w:lang w:eastAsia="zh-CN"/>
        </w:rPr>
        <w:t>Step 2: Stakeholder identification</w:t>
      </w:r>
    </w:p>
    <w:p w:rsidR="003934EC" w:rsidRPr="00407139" w:rsidRDefault="003934EC" w:rsidP="003934EC">
      <w:pPr>
        <w:spacing w:after="0" w:line="264" w:lineRule="auto"/>
        <w:rPr>
          <w:rFonts w:eastAsia="SimSun"/>
          <w:lang w:eastAsia="zh-CN"/>
        </w:rPr>
      </w:pPr>
      <w:r w:rsidRPr="00407139">
        <w:rPr>
          <w:rFonts w:eastAsia="SimSun"/>
          <w:lang w:eastAsia="zh-CN"/>
        </w:rPr>
        <w:t>The following target sectors have been identified in the objective and scope setting in country A for establishing individual POP-PBDEs inventories (See the POP-PBDEs Inventory Guidance, 2.2):</w:t>
      </w:r>
    </w:p>
    <w:p w:rsidR="003934EC" w:rsidRPr="00407139" w:rsidRDefault="003934EC" w:rsidP="003934EC">
      <w:pPr>
        <w:spacing w:after="0" w:line="264" w:lineRule="auto"/>
        <w:rPr>
          <w:rFonts w:eastAsia="SimSun"/>
          <w:lang w:eastAsia="zh-CN"/>
        </w:rPr>
      </w:pPr>
      <w:r w:rsidRPr="00407139">
        <w:rPr>
          <w:rFonts w:eastAsia="SimSun"/>
          <w:lang w:eastAsia="zh-CN"/>
        </w:rPr>
        <w:t xml:space="preserve">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Electric and Electronic Equipment (EEE) and related wastes (WEEE);</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Transport; </w:t>
      </w:r>
    </w:p>
    <w:p w:rsidR="003934EC" w:rsidRPr="00407139" w:rsidRDefault="003934EC" w:rsidP="003934EC">
      <w:pPr>
        <w:spacing w:after="0" w:line="264" w:lineRule="auto"/>
        <w:ind w:left="360"/>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Other sectors were not considered relevant for country A. </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For a detailed stakeholder assessment of the sector within the country following steps were undertaken as described in the inventory guidance’s transport sector. </w:t>
      </w:r>
    </w:p>
    <w:p w:rsidR="003934EC" w:rsidRPr="00407139" w:rsidRDefault="003934EC" w:rsidP="003934EC">
      <w:pPr>
        <w:spacing w:after="0" w:line="264" w:lineRule="auto"/>
        <w:rPr>
          <w:rFonts w:eastAsia="SimSun"/>
          <w:b/>
          <w:bCs/>
          <w:lang w:eastAsia="zh-CN"/>
        </w:rPr>
      </w:pPr>
    </w:p>
    <w:p w:rsidR="003934EC" w:rsidRPr="00407139" w:rsidRDefault="003934EC" w:rsidP="003934EC">
      <w:pPr>
        <w:spacing w:after="0"/>
      </w:pPr>
      <w:r w:rsidRPr="00407139">
        <w:t>Appropriate members of the inventory task team should be selected to conduct the inventory of the transport sector. Further specific stakeholders for the inventory of the transport sector and end-of-life vehicles were identified as follows:</w:t>
      </w:r>
    </w:p>
    <w:p w:rsidR="003934EC" w:rsidRPr="00407139" w:rsidRDefault="003934EC" w:rsidP="003934EC">
      <w:pPr>
        <w:spacing w:after="0"/>
        <w:rPr>
          <w:rFonts w:eastAsia="SimSun"/>
        </w:rPr>
      </w:pPr>
    </w:p>
    <w:p w:rsidR="003934EC" w:rsidRPr="00407139" w:rsidRDefault="003934EC" w:rsidP="003934EC">
      <w:pPr>
        <w:numPr>
          <w:ilvl w:val="0"/>
          <w:numId w:val="3"/>
        </w:numPr>
        <w:tabs>
          <w:tab w:val="clear" w:pos="720"/>
          <w:tab w:val="num" w:pos="800"/>
        </w:tabs>
        <w:snapToGrid/>
        <w:spacing w:after="0"/>
        <w:ind w:left="800"/>
      </w:pPr>
      <w:r w:rsidRPr="00407139">
        <w:t>Ministry of transport or other ministry responsible for transport sector;</w:t>
      </w:r>
    </w:p>
    <w:p w:rsidR="003934EC" w:rsidRPr="00407139" w:rsidRDefault="003934EC" w:rsidP="003934EC">
      <w:pPr>
        <w:numPr>
          <w:ilvl w:val="0"/>
          <w:numId w:val="3"/>
        </w:numPr>
        <w:tabs>
          <w:tab w:val="clear" w:pos="720"/>
          <w:tab w:val="num" w:pos="800"/>
        </w:tabs>
        <w:snapToGrid/>
        <w:spacing w:after="0"/>
        <w:ind w:left="800"/>
      </w:pPr>
      <w:r w:rsidRPr="00407139">
        <w:t>Ministry responsible for waste management;</w:t>
      </w:r>
    </w:p>
    <w:p w:rsidR="003934EC" w:rsidRPr="00407139" w:rsidRDefault="003934EC" w:rsidP="003934EC">
      <w:pPr>
        <w:numPr>
          <w:ilvl w:val="0"/>
          <w:numId w:val="3"/>
        </w:numPr>
        <w:tabs>
          <w:tab w:val="clear" w:pos="720"/>
          <w:tab w:val="num" w:pos="800"/>
        </w:tabs>
        <w:snapToGrid/>
        <w:spacing w:after="0"/>
        <w:ind w:left="800"/>
      </w:pPr>
      <w:r w:rsidRPr="00407139">
        <w:t>Association of importer and exporters of cars and other vehicles;</w:t>
      </w:r>
    </w:p>
    <w:p w:rsidR="003934EC" w:rsidRPr="00407139" w:rsidRDefault="003934EC" w:rsidP="003934EC">
      <w:pPr>
        <w:numPr>
          <w:ilvl w:val="0"/>
          <w:numId w:val="3"/>
        </w:numPr>
        <w:tabs>
          <w:tab w:val="clear" w:pos="720"/>
          <w:tab w:val="num" w:pos="800"/>
        </w:tabs>
        <w:snapToGrid/>
        <w:spacing w:after="0"/>
        <w:ind w:left="800"/>
      </w:pPr>
      <w:r w:rsidRPr="00407139">
        <w:t>Retailers of vehicles (in particular second hand vehicles);</w:t>
      </w:r>
    </w:p>
    <w:p w:rsidR="003934EC" w:rsidRPr="00407139" w:rsidRDefault="003934EC" w:rsidP="003934EC">
      <w:pPr>
        <w:numPr>
          <w:ilvl w:val="0"/>
          <w:numId w:val="3"/>
        </w:numPr>
        <w:tabs>
          <w:tab w:val="clear" w:pos="720"/>
          <w:tab w:val="num" w:pos="800"/>
        </w:tabs>
        <w:snapToGrid/>
        <w:spacing w:after="0"/>
        <w:ind w:left="800"/>
      </w:pPr>
      <w:r w:rsidRPr="00407139">
        <w:t>Association or main stakeholders of scrap recycling;</w:t>
      </w:r>
    </w:p>
    <w:p w:rsidR="003934EC" w:rsidRPr="00407139" w:rsidRDefault="003934EC" w:rsidP="003934EC">
      <w:pPr>
        <w:numPr>
          <w:ilvl w:val="0"/>
          <w:numId w:val="3"/>
        </w:numPr>
        <w:tabs>
          <w:tab w:val="clear" w:pos="720"/>
          <w:tab w:val="num" w:pos="800"/>
        </w:tabs>
        <w:snapToGrid/>
        <w:spacing w:after="0"/>
        <w:ind w:left="800"/>
      </w:pPr>
      <w:r w:rsidRPr="00407139">
        <w:t>Association and main stakeholder polymer recycling;</w:t>
      </w:r>
    </w:p>
    <w:p w:rsidR="003934EC" w:rsidRPr="00407139" w:rsidRDefault="003934EC" w:rsidP="003934EC">
      <w:pPr>
        <w:numPr>
          <w:ilvl w:val="0"/>
          <w:numId w:val="3"/>
        </w:numPr>
        <w:tabs>
          <w:tab w:val="clear" w:pos="720"/>
          <w:tab w:val="num" w:pos="800"/>
        </w:tabs>
        <w:snapToGrid/>
        <w:spacing w:after="0"/>
        <w:ind w:left="800"/>
      </w:pPr>
      <w:r w:rsidRPr="00407139">
        <w:t>University group(s) working material flows, waste management or on transport sector;</w:t>
      </w:r>
    </w:p>
    <w:p w:rsidR="003934EC" w:rsidRPr="00407139" w:rsidRDefault="003934EC" w:rsidP="003934EC">
      <w:pPr>
        <w:numPr>
          <w:ilvl w:val="0"/>
          <w:numId w:val="3"/>
        </w:numPr>
        <w:tabs>
          <w:tab w:val="clear" w:pos="720"/>
          <w:tab w:val="num" w:pos="800"/>
        </w:tabs>
        <w:snapToGrid/>
        <w:spacing w:after="0"/>
        <w:ind w:left="800"/>
      </w:pPr>
      <w:r w:rsidRPr="00407139">
        <w:t>NGOs working on transport and the sound management of hazardous waste and chemicals.</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Major stakeholders initially identified were contacted by telephone, and a consultation meeting was held to explain the project outline to the major stakeholders. Those stakeholders were invited to in the inception workshop on NIP update and new POPs inventory that was organised in cooperation with the regional Stockholm Convention Focal Point.  </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bCs/>
          <w:lang w:eastAsia="zh-CN"/>
        </w:rPr>
      </w:pPr>
      <w:r w:rsidRPr="00407139">
        <w:rPr>
          <w:rFonts w:eastAsia="SimSun"/>
          <w:b/>
          <w:bCs/>
          <w:lang w:eastAsia="zh-CN"/>
        </w:rPr>
        <w:t xml:space="preserve">Step 3 (Methodology for Data Collection): </w:t>
      </w:r>
      <w:r w:rsidRPr="00407139">
        <w:rPr>
          <w:rFonts w:eastAsia="SimSun"/>
          <w:bCs/>
          <w:lang w:eastAsia="zh-CN"/>
        </w:rPr>
        <w:t>The evaluation of available and relevant national data on the transport sector was conducted and the following existing data were identified.</w:t>
      </w:r>
    </w:p>
    <w:p w:rsidR="003934EC" w:rsidRPr="00407139" w:rsidRDefault="003934EC" w:rsidP="003934EC">
      <w:pPr>
        <w:spacing w:after="0" w:line="264" w:lineRule="auto"/>
        <w:rPr>
          <w:rFonts w:eastAsia="SimSun"/>
          <w:b/>
          <w:bCs/>
          <w:lang w:eastAsia="zh-CN"/>
        </w:rPr>
      </w:pP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Number of registered cars, busses and trucks (data from the Ministry of Transport) since 2000 (2000-2010) including the production year data;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Number of imported vehicles in the past 5 years (2007-2010) including the production year data;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Total numbers of cars, busses and trucks having reached their end of life stage (removed from the registration) since 2000 (2000 to 2010) including the production year data;</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lastRenderedPageBreak/>
        <w:t>Waste management practice of the end of life vehicles including characteristics (number, weight, type of vehicles) of vehicles treated by the major stakeholders;</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Recycling practice of the polymer materials resulting from the end-of-life treatment of cars including amounts of plastic from dashboard and bumpers and polyurethane foams from seats and head/arm rest etc handled by the major stakeholders.</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After data compilation, a gap analysis was conducted to identify missing data (data before 2007) needed to fill out tables 5-1 to 5-4 in the inventory guidance.  A survey was launched to generate the missing data. </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The survey was conducted by a joint inventory team of a University and a research institution working on resources and waste management (task team member) in cooperation with the Ministry of Environment, the Ministry of Transport and a local consultant. Other task team members supported the study where they could get access to relevant data.</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The survey conducted by face to face interviews with the association of importers and exporters of vehicles were able to collect data on imported cars between 2000 and 2007 but without production year data. However the rest of the missing data was not successfully </w:t>
      </w:r>
      <w:proofErr w:type="gramStart"/>
      <w:r w:rsidRPr="00407139">
        <w:rPr>
          <w:rFonts w:eastAsia="SimSun"/>
          <w:lang w:eastAsia="zh-CN"/>
        </w:rPr>
        <w:t>identified,</w:t>
      </w:r>
      <w:proofErr w:type="gramEnd"/>
      <w:r w:rsidRPr="00407139">
        <w:rPr>
          <w:rFonts w:eastAsia="SimSun"/>
          <w:lang w:eastAsia="zh-CN"/>
        </w:rPr>
        <w:t xml:space="preserve"> and the expert judgement needed to be engaged to estimate the following data to fill out Table 5-1 to 5-4.</w:t>
      </w:r>
    </w:p>
    <w:p w:rsidR="003934EC" w:rsidRPr="00407139" w:rsidRDefault="003934EC" w:rsidP="003934EC">
      <w:pPr>
        <w:spacing w:after="0" w:line="264" w:lineRule="auto"/>
        <w:rPr>
          <w:rFonts w:eastAsia="SimSun"/>
          <w:b/>
          <w:bCs/>
          <w:lang w:eastAsia="zh-CN"/>
        </w:rPr>
      </w:pP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Expert survey for specific estimation:</w:t>
      </w:r>
    </w:p>
    <w:p w:rsidR="003934EC" w:rsidRPr="00407139" w:rsidRDefault="003934EC" w:rsidP="003934EC">
      <w:pPr>
        <w:numPr>
          <w:ilvl w:val="1"/>
          <w:numId w:val="3"/>
        </w:numPr>
        <w:snapToGrid/>
        <w:spacing w:after="0" w:line="264" w:lineRule="auto"/>
        <w:rPr>
          <w:rFonts w:eastAsia="SimSun"/>
          <w:lang w:eastAsia="zh-CN"/>
        </w:rPr>
      </w:pPr>
      <w:r w:rsidRPr="00407139">
        <w:rPr>
          <w:rFonts w:eastAsia="SimSun"/>
          <w:lang w:eastAsia="zh-CN"/>
        </w:rPr>
        <w:t>Number of registered cars, busses and trucks between 1975 and 1999;</w:t>
      </w:r>
    </w:p>
    <w:p w:rsidR="003934EC" w:rsidRPr="00407139" w:rsidRDefault="003934EC" w:rsidP="003934EC">
      <w:pPr>
        <w:numPr>
          <w:ilvl w:val="1"/>
          <w:numId w:val="3"/>
        </w:numPr>
        <w:snapToGrid/>
        <w:spacing w:after="0" w:line="264" w:lineRule="auto"/>
        <w:rPr>
          <w:rFonts w:eastAsia="SimSun"/>
          <w:lang w:eastAsia="zh-CN"/>
        </w:rPr>
      </w:pPr>
      <w:r w:rsidRPr="00407139">
        <w:rPr>
          <w:rFonts w:eastAsia="SimSun"/>
          <w:lang w:eastAsia="zh-CN"/>
        </w:rPr>
        <w:t>Number of cars, busses, and trucks imported between 1975 and 1999;</w:t>
      </w:r>
    </w:p>
    <w:p w:rsidR="003934EC" w:rsidRPr="00407139" w:rsidRDefault="003934EC" w:rsidP="003934EC">
      <w:pPr>
        <w:numPr>
          <w:ilvl w:val="1"/>
          <w:numId w:val="3"/>
        </w:numPr>
        <w:snapToGrid/>
        <w:spacing w:after="0" w:line="264" w:lineRule="auto"/>
        <w:rPr>
          <w:rFonts w:eastAsia="SimSun"/>
          <w:lang w:eastAsia="zh-CN"/>
        </w:rPr>
      </w:pPr>
      <w:r w:rsidRPr="00407139">
        <w:rPr>
          <w:rFonts w:eastAsia="SimSun"/>
          <w:lang w:eastAsia="zh-CN"/>
        </w:rPr>
        <w:t xml:space="preserve">Age distribution of imported vehicles between 2005 and 2007 (percentage of cars older </w:t>
      </w:r>
      <w:proofErr w:type="spellStart"/>
      <w:r w:rsidRPr="00407139">
        <w:rPr>
          <w:rFonts w:eastAsia="SimSun"/>
          <w:lang w:eastAsia="zh-CN"/>
        </w:rPr>
        <w:t>then</w:t>
      </w:r>
      <w:proofErr w:type="spellEnd"/>
      <w:r w:rsidRPr="00407139">
        <w:rPr>
          <w:rFonts w:eastAsia="SimSun"/>
          <w:lang w:eastAsia="zh-CN"/>
        </w:rPr>
        <w:t xml:space="preserve"> the 2005 cut off date);</w:t>
      </w:r>
    </w:p>
    <w:p w:rsidR="003934EC" w:rsidRPr="00407139" w:rsidRDefault="003934EC" w:rsidP="003934EC">
      <w:pPr>
        <w:numPr>
          <w:ilvl w:val="1"/>
          <w:numId w:val="3"/>
        </w:numPr>
        <w:snapToGrid/>
        <w:spacing w:after="0" w:line="264" w:lineRule="auto"/>
        <w:rPr>
          <w:rFonts w:eastAsia="SimSun"/>
          <w:lang w:eastAsia="zh-CN"/>
        </w:rPr>
      </w:pPr>
      <w:r w:rsidRPr="00407139">
        <w:rPr>
          <w:rFonts w:eastAsia="SimSun"/>
          <w:lang w:eastAsia="zh-CN"/>
        </w:rPr>
        <w:t>Number of cars, busses and trucks having reached their end of life stage (removed from the registration) between 1975 to 1999;</w:t>
      </w:r>
    </w:p>
    <w:p w:rsidR="003934EC" w:rsidRPr="00407139" w:rsidRDefault="003934EC" w:rsidP="003934EC">
      <w:pPr>
        <w:numPr>
          <w:ilvl w:val="1"/>
          <w:numId w:val="2"/>
        </w:numPr>
        <w:snapToGrid/>
        <w:spacing w:after="0" w:line="264" w:lineRule="auto"/>
        <w:rPr>
          <w:rFonts w:eastAsia="SimSun"/>
          <w:lang w:eastAsia="zh-CN"/>
        </w:rPr>
      </w:pPr>
      <w:r w:rsidRPr="00407139">
        <w:rPr>
          <w:rFonts w:eastAsia="SimSun"/>
          <w:lang w:eastAsia="zh-CN"/>
        </w:rPr>
        <w:t>Distribution of the originating regions of the imported vehicles;</w:t>
      </w:r>
    </w:p>
    <w:p w:rsidR="003934EC" w:rsidRPr="00407139" w:rsidRDefault="003934EC" w:rsidP="003934EC">
      <w:pPr>
        <w:numPr>
          <w:ilvl w:val="1"/>
          <w:numId w:val="2"/>
        </w:numPr>
        <w:snapToGrid/>
        <w:spacing w:after="0" w:line="264" w:lineRule="auto"/>
        <w:rPr>
          <w:rFonts w:eastAsia="SimSun"/>
          <w:lang w:eastAsia="zh-CN"/>
        </w:rPr>
      </w:pPr>
      <w:r w:rsidRPr="00407139">
        <w:rPr>
          <w:rFonts w:eastAsia="SimSun"/>
          <w:lang w:eastAsia="zh-CN"/>
        </w:rPr>
        <w:t>Presence and extent of polymer recycling sector in the country.</w:t>
      </w:r>
    </w:p>
    <w:p w:rsidR="003934EC" w:rsidRPr="00407139" w:rsidRDefault="003934EC" w:rsidP="003934EC">
      <w:pPr>
        <w:spacing w:after="0" w:line="264" w:lineRule="auto"/>
        <w:rPr>
          <w:rFonts w:eastAsia="SimSun"/>
          <w:b/>
          <w:bCs/>
          <w:lang w:eastAsia="zh-CN"/>
        </w:rPr>
      </w:pPr>
    </w:p>
    <w:p w:rsidR="003934EC" w:rsidRPr="00407139" w:rsidRDefault="003934EC" w:rsidP="003934EC">
      <w:pPr>
        <w:spacing w:after="0" w:line="264" w:lineRule="auto"/>
        <w:rPr>
          <w:rFonts w:eastAsia="SimSun"/>
          <w:b/>
          <w:bCs/>
          <w:lang w:eastAsia="zh-CN"/>
        </w:rPr>
      </w:pPr>
      <w:r w:rsidRPr="00407139">
        <w:rPr>
          <w:rFonts w:eastAsia="SimSun"/>
          <w:b/>
          <w:bCs/>
          <w:lang w:eastAsia="zh-CN"/>
        </w:rPr>
        <w:t>Step 4: Data collection and compilation</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 xml:space="preserve">The country A (50 million inhabitants) has found that, 8 million passenger cars, 0.4 million busses and 0.12 million trucks were officially registered in the country. The Ministry of Transport estimated that most busses and trucks were registered officially, but that a further 2 million passenger cars currently in operation in country A were not registered and that therefore about 10 million cars were in use. </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Based on the evaluation of all the data compiled, the following assessments have been made for the vehicle age distribution and estimation of originating regions of imported vehicles in this country.</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u w:val="single"/>
          <w:lang w:eastAsia="zh-CN"/>
        </w:rPr>
      </w:pPr>
      <w:r w:rsidRPr="00407139">
        <w:rPr>
          <w:rFonts w:eastAsia="SimSun"/>
          <w:u w:val="single"/>
          <w:lang w:eastAsia="zh-CN"/>
        </w:rPr>
        <w:t xml:space="preserve">A. Information on current transport fleet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10 million passenger cars, 0.4 million busses and 0.12 million trucks;</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lastRenderedPageBreak/>
        <w:t>Of the current transport fleet, 60% of passenger cars, 75% of busses and 75% of trucks were produced before 2005;</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Passenger cars and busses have mainly been imported from </w:t>
      </w:r>
      <w:smartTag w:uri="urn:schemas-microsoft-com:office:smarttags" w:element="place">
        <w:r w:rsidRPr="00407139">
          <w:rPr>
            <w:rFonts w:eastAsia="SimSun"/>
            <w:lang w:eastAsia="zh-CN"/>
          </w:rPr>
          <w:t>Asia</w:t>
        </w:r>
      </w:smartTag>
      <w:r w:rsidRPr="00407139">
        <w:rPr>
          <w:rFonts w:eastAsia="SimSun"/>
          <w:lang w:eastAsia="zh-CN"/>
        </w:rPr>
        <w:t xml:space="preserve"> (40%), and </w:t>
      </w:r>
      <w:smartTag w:uri="urn:schemas-microsoft-com:office:smarttags" w:element="place">
        <w:r w:rsidRPr="00407139">
          <w:rPr>
            <w:rFonts w:eastAsia="SimSun"/>
            <w:lang w:eastAsia="zh-CN"/>
          </w:rPr>
          <w:t>Europe</w:t>
        </w:r>
      </w:smartTag>
      <w:r w:rsidRPr="00407139">
        <w:rPr>
          <w:rFonts w:eastAsia="SimSun"/>
          <w:lang w:eastAsia="zh-CN"/>
        </w:rPr>
        <w:t xml:space="preserve"> (35%) and to some extent from </w:t>
      </w:r>
      <w:smartTag w:uri="urn:schemas-microsoft-com:office:smarttags" w:element="place">
        <w:r w:rsidRPr="00407139">
          <w:rPr>
            <w:rFonts w:eastAsia="SimSun"/>
            <w:lang w:eastAsia="zh-CN"/>
          </w:rPr>
          <w:t>North America</w:t>
        </w:r>
      </w:smartTag>
      <w:r w:rsidRPr="00407139">
        <w:rPr>
          <w:rFonts w:eastAsia="SimSun"/>
          <w:lang w:eastAsia="zh-CN"/>
        </w:rPr>
        <w:t xml:space="preserve"> (25%; largely from the </w:t>
      </w:r>
      <w:smartTag w:uri="urn:schemas-microsoft-com:office:smarttags" w:element="country-region">
        <w:smartTag w:uri="urn:schemas-microsoft-com:office:smarttags" w:element="place">
          <w:r w:rsidRPr="00407139">
            <w:rPr>
              <w:rFonts w:eastAsia="SimSun"/>
              <w:lang w:eastAsia="zh-CN"/>
            </w:rPr>
            <w:t>US</w:t>
          </w:r>
        </w:smartTag>
      </w:smartTag>
      <w:r w:rsidRPr="00407139">
        <w:rPr>
          <w:rFonts w:eastAsia="SimSun"/>
          <w:lang w:eastAsia="zh-CN"/>
        </w:rPr>
        <w:t xml:space="preserve">);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Trucks were mainly from </w:t>
      </w:r>
      <w:smartTag w:uri="urn:schemas-microsoft-com:office:smarttags" w:element="place">
        <w:r w:rsidRPr="00407139">
          <w:rPr>
            <w:rFonts w:eastAsia="SimSun"/>
            <w:lang w:eastAsia="zh-CN"/>
          </w:rPr>
          <w:t>Europe</w:t>
        </w:r>
      </w:smartTag>
      <w:r w:rsidRPr="00407139">
        <w:rPr>
          <w:rFonts w:eastAsia="SimSun"/>
          <w:lang w:eastAsia="zh-CN"/>
        </w:rPr>
        <w:t xml:space="preserve"> (50%) and </w:t>
      </w:r>
      <w:smartTag w:uri="urn:schemas-microsoft-com:office:smarttags" w:element="place">
        <w:r w:rsidRPr="00407139">
          <w:rPr>
            <w:rFonts w:eastAsia="SimSun"/>
            <w:lang w:eastAsia="zh-CN"/>
          </w:rPr>
          <w:t>North America</w:t>
        </w:r>
      </w:smartTag>
      <w:r w:rsidRPr="00407139">
        <w:rPr>
          <w:rFonts w:eastAsia="SimSun"/>
          <w:lang w:eastAsia="zh-CN"/>
        </w:rPr>
        <w:t xml:space="preserve"> (50%).</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u w:val="single"/>
          <w:lang w:eastAsia="zh-CN"/>
        </w:rPr>
      </w:pPr>
      <w:r w:rsidRPr="00407139">
        <w:rPr>
          <w:rFonts w:eastAsia="SimSun"/>
          <w:u w:val="single"/>
          <w:lang w:eastAsia="zh-CN"/>
        </w:rPr>
        <w:t>B. Information on imports of the inventory year</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In 2010, 1 million cars, 40,000 busses and 20,000 trucks were imported;</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Only 20% of imported cars in 2010 were estimated to be produced before 2005;</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40% of imported busses and trucks in 2010 were estimated to be older </w:t>
      </w:r>
      <w:proofErr w:type="spellStart"/>
      <w:r w:rsidRPr="00407139">
        <w:rPr>
          <w:rFonts w:eastAsia="SimSun"/>
          <w:lang w:eastAsia="zh-CN"/>
        </w:rPr>
        <w:t>then</w:t>
      </w:r>
      <w:proofErr w:type="spellEnd"/>
      <w:r w:rsidRPr="00407139">
        <w:rPr>
          <w:rFonts w:eastAsia="SimSun"/>
          <w:lang w:eastAsia="zh-CN"/>
        </w:rPr>
        <w:t xml:space="preserve"> 2005;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Current imports of passenger cars have mainly been from </w:t>
      </w:r>
      <w:smartTag w:uri="urn:schemas-microsoft-com:office:smarttags" w:element="place">
        <w:r w:rsidRPr="00407139">
          <w:rPr>
            <w:rFonts w:eastAsia="SimSun"/>
            <w:lang w:eastAsia="zh-CN"/>
          </w:rPr>
          <w:t>Asia</w:t>
        </w:r>
      </w:smartTag>
      <w:r w:rsidRPr="00407139">
        <w:rPr>
          <w:rFonts w:eastAsia="SimSun"/>
          <w:lang w:eastAsia="zh-CN"/>
        </w:rPr>
        <w:t xml:space="preserve"> (50%), </w:t>
      </w:r>
      <w:smartTag w:uri="urn:schemas-microsoft-com:office:smarttags" w:element="place">
        <w:r w:rsidRPr="00407139">
          <w:rPr>
            <w:rFonts w:eastAsia="SimSun"/>
            <w:lang w:eastAsia="zh-CN"/>
          </w:rPr>
          <w:t>Europe</w:t>
        </w:r>
      </w:smartTag>
      <w:r w:rsidRPr="00407139">
        <w:rPr>
          <w:rFonts w:eastAsia="SimSun"/>
          <w:lang w:eastAsia="zh-CN"/>
        </w:rPr>
        <w:t xml:space="preserve"> (30%) and </w:t>
      </w:r>
      <w:smartTag w:uri="urn:schemas-microsoft-com:office:smarttags" w:element="place">
        <w:r w:rsidRPr="00407139">
          <w:rPr>
            <w:rFonts w:eastAsia="SimSun"/>
            <w:lang w:eastAsia="zh-CN"/>
          </w:rPr>
          <w:t>North America</w:t>
        </w:r>
      </w:smartTag>
      <w:r w:rsidRPr="00407139">
        <w:rPr>
          <w:rFonts w:eastAsia="SimSun"/>
          <w:lang w:eastAsia="zh-CN"/>
        </w:rPr>
        <w:t xml:space="preserve"> (20%);</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Busses have mainly been imported from </w:t>
      </w:r>
      <w:smartTag w:uri="urn:schemas-microsoft-com:office:smarttags" w:element="place">
        <w:r w:rsidRPr="00407139">
          <w:rPr>
            <w:rFonts w:eastAsia="SimSun"/>
            <w:lang w:eastAsia="zh-CN"/>
          </w:rPr>
          <w:t>Asia</w:t>
        </w:r>
      </w:smartTag>
      <w:r w:rsidRPr="00407139">
        <w:rPr>
          <w:rFonts w:eastAsia="SimSun"/>
          <w:lang w:eastAsia="zh-CN"/>
        </w:rPr>
        <w:t xml:space="preserve"> (60%) and </w:t>
      </w:r>
      <w:smartTag w:uri="urn:schemas-microsoft-com:office:smarttags" w:element="place">
        <w:r w:rsidRPr="00407139">
          <w:rPr>
            <w:rFonts w:eastAsia="SimSun"/>
            <w:lang w:eastAsia="zh-CN"/>
          </w:rPr>
          <w:t>Europe</w:t>
        </w:r>
      </w:smartTag>
      <w:r w:rsidRPr="00407139">
        <w:rPr>
          <w:rFonts w:eastAsia="SimSun"/>
          <w:lang w:eastAsia="zh-CN"/>
        </w:rPr>
        <w:t xml:space="preserve"> (40%);</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Trucks have been imported from </w:t>
      </w:r>
      <w:smartTag w:uri="urn:schemas-microsoft-com:office:smarttags" w:element="place">
        <w:r w:rsidRPr="00407139">
          <w:rPr>
            <w:rFonts w:eastAsia="SimSun"/>
            <w:lang w:eastAsia="zh-CN"/>
          </w:rPr>
          <w:t>Europe</w:t>
        </w:r>
      </w:smartTag>
      <w:r w:rsidRPr="00407139">
        <w:rPr>
          <w:rFonts w:eastAsia="SimSun"/>
          <w:lang w:eastAsia="zh-CN"/>
        </w:rPr>
        <w:t xml:space="preserve"> (50%) and from </w:t>
      </w:r>
      <w:smartTag w:uri="urn:schemas-microsoft-com:office:smarttags" w:element="place">
        <w:r w:rsidRPr="00407139">
          <w:rPr>
            <w:rFonts w:eastAsia="SimSun"/>
            <w:lang w:eastAsia="zh-CN"/>
          </w:rPr>
          <w:t>North America</w:t>
        </w:r>
      </w:smartTag>
      <w:r w:rsidRPr="00407139">
        <w:rPr>
          <w:rFonts w:eastAsia="SimSun"/>
          <w:lang w:eastAsia="zh-CN"/>
        </w:rPr>
        <w:t xml:space="preserve"> (50%) at comparable level.</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u w:val="single"/>
          <w:lang w:eastAsia="zh-CN"/>
        </w:rPr>
      </w:pPr>
    </w:p>
    <w:p w:rsidR="003934EC" w:rsidRPr="00407139" w:rsidRDefault="003934EC" w:rsidP="003934EC">
      <w:pPr>
        <w:spacing w:after="0" w:line="264" w:lineRule="auto"/>
        <w:rPr>
          <w:rFonts w:eastAsia="SimSun"/>
          <w:u w:val="single"/>
          <w:lang w:eastAsia="zh-CN"/>
        </w:rPr>
      </w:pPr>
      <w:r w:rsidRPr="00407139">
        <w:rPr>
          <w:rFonts w:eastAsia="SimSun"/>
          <w:u w:val="single"/>
          <w:lang w:eastAsia="zh-CN"/>
        </w:rPr>
        <w:t>C. End of Life vehicles and End of Life Treatment:</w:t>
      </w:r>
    </w:p>
    <w:p w:rsidR="003934EC" w:rsidRPr="00407139" w:rsidRDefault="003934EC" w:rsidP="003934EC">
      <w:pPr>
        <w:spacing w:after="0" w:line="264" w:lineRule="auto"/>
        <w:rPr>
          <w:rFonts w:eastAsia="SimSun"/>
          <w:lang w:eastAsia="zh-CN"/>
        </w:rPr>
      </w:pPr>
      <w:r w:rsidRPr="00407139">
        <w:rPr>
          <w:rFonts w:eastAsia="SimSun"/>
          <w:lang w:eastAsia="zh-CN"/>
        </w:rPr>
        <w:t>I) End of Life Vehicle in 2010</w:t>
      </w:r>
    </w:p>
    <w:p w:rsidR="003934EC" w:rsidRPr="00407139" w:rsidRDefault="003934EC" w:rsidP="003934EC">
      <w:pPr>
        <w:numPr>
          <w:ilvl w:val="1"/>
          <w:numId w:val="3"/>
        </w:numPr>
        <w:snapToGrid/>
        <w:spacing w:after="0" w:line="264" w:lineRule="auto"/>
        <w:rPr>
          <w:rFonts w:eastAsia="SimSun"/>
          <w:lang w:eastAsia="zh-CN"/>
        </w:rPr>
      </w:pPr>
      <w:r w:rsidRPr="00407139">
        <w:rPr>
          <w:rFonts w:eastAsia="SimSun"/>
          <w:lang w:eastAsia="zh-CN"/>
        </w:rPr>
        <w:t>Approx. 800,000 cars, 30,000 busses and 20,000 trucks were removed from the vehicle registration;</w:t>
      </w:r>
    </w:p>
    <w:p w:rsidR="003934EC" w:rsidRPr="00407139" w:rsidRDefault="003934EC" w:rsidP="003934EC">
      <w:pPr>
        <w:numPr>
          <w:ilvl w:val="1"/>
          <w:numId w:val="3"/>
        </w:numPr>
        <w:snapToGrid/>
        <w:spacing w:after="0" w:line="264" w:lineRule="auto"/>
        <w:rPr>
          <w:rFonts w:eastAsia="SimSun"/>
          <w:lang w:eastAsia="zh-CN"/>
        </w:rPr>
      </w:pPr>
      <w:r w:rsidRPr="00407139">
        <w:rPr>
          <w:rFonts w:eastAsia="SimSun"/>
          <w:lang w:eastAsia="zh-CN"/>
        </w:rPr>
        <w:t xml:space="preserve">95% of these vehicles were estimated to have been produced before 2005; </w:t>
      </w:r>
    </w:p>
    <w:p w:rsidR="003934EC" w:rsidRPr="00407139" w:rsidRDefault="003934EC" w:rsidP="003934EC">
      <w:pPr>
        <w:numPr>
          <w:ilvl w:val="0"/>
          <w:numId w:val="3"/>
        </w:numPr>
        <w:tabs>
          <w:tab w:val="clear" w:pos="720"/>
          <w:tab w:val="num" w:pos="800"/>
        </w:tabs>
        <w:snapToGrid/>
        <w:spacing w:after="0" w:line="264" w:lineRule="auto"/>
        <w:ind w:left="800"/>
        <w:rPr>
          <w:rFonts w:eastAsia="SimSun"/>
          <w:lang w:eastAsia="zh-CN"/>
        </w:rPr>
      </w:pPr>
      <w:r w:rsidRPr="00407139">
        <w:rPr>
          <w:rFonts w:eastAsia="SimSun"/>
          <w:lang w:eastAsia="zh-CN"/>
        </w:rPr>
        <w:t xml:space="preserve">Regional distribution of these vehicles were estimated as similar to the current vehicle fleet: Passenger cars and busses from </w:t>
      </w:r>
      <w:smartTag w:uri="urn:schemas-microsoft-com:office:smarttags" w:element="place">
        <w:r w:rsidRPr="00407139">
          <w:rPr>
            <w:rFonts w:eastAsia="SimSun"/>
            <w:lang w:eastAsia="zh-CN"/>
          </w:rPr>
          <w:t>Asia</w:t>
        </w:r>
      </w:smartTag>
      <w:r w:rsidRPr="00407139">
        <w:rPr>
          <w:rFonts w:eastAsia="SimSun"/>
          <w:lang w:eastAsia="zh-CN"/>
        </w:rPr>
        <w:t xml:space="preserve"> (40%), </w:t>
      </w:r>
      <w:smartTag w:uri="urn:schemas-microsoft-com:office:smarttags" w:element="place">
        <w:r w:rsidRPr="00407139">
          <w:rPr>
            <w:rFonts w:eastAsia="SimSun"/>
            <w:lang w:eastAsia="zh-CN"/>
          </w:rPr>
          <w:t>Europe</w:t>
        </w:r>
      </w:smartTag>
      <w:r w:rsidRPr="00407139">
        <w:rPr>
          <w:rFonts w:eastAsia="SimSun"/>
          <w:lang w:eastAsia="zh-CN"/>
        </w:rPr>
        <w:t xml:space="preserve"> (35%) </w:t>
      </w:r>
      <w:smartTag w:uri="urn:schemas-microsoft-com:office:smarttags" w:element="place">
        <w:r w:rsidRPr="00407139">
          <w:rPr>
            <w:rFonts w:eastAsia="SimSun"/>
            <w:lang w:eastAsia="zh-CN"/>
          </w:rPr>
          <w:t>North America</w:t>
        </w:r>
      </w:smartTag>
      <w:r w:rsidRPr="00407139">
        <w:rPr>
          <w:rFonts w:eastAsia="SimSun"/>
          <w:lang w:eastAsia="zh-CN"/>
        </w:rPr>
        <w:t xml:space="preserve"> (25%); Trucks mainly from </w:t>
      </w:r>
      <w:smartTag w:uri="urn:schemas-microsoft-com:office:smarttags" w:element="place">
        <w:r w:rsidRPr="00407139">
          <w:rPr>
            <w:rFonts w:eastAsia="SimSun"/>
            <w:lang w:eastAsia="zh-CN"/>
          </w:rPr>
          <w:t>Europe</w:t>
        </w:r>
      </w:smartTag>
      <w:r w:rsidRPr="00407139">
        <w:rPr>
          <w:rFonts w:eastAsia="SimSun"/>
          <w:lang w:eastAsia="zh-CN"/>
        </w:rPr>
        <w:t xml:space="preserve"> (50%) and </w:t>
      </w:r>
      <w:smartTag w:uri="urn:schemas-microsoft-com:office:smarttags" w:element="place">
        <w:r w:rsidRPr="00407139">
          <w:rPr>
            <w:rFonts w:eastAsia="SimSun"/>
            <w:lang w:eastAsia="zh-CN"/>
          </w:rPr>
          <w:t>North America</w:t>
        </w:r>
      </w:smartTag>
      <w:r w:rsidRPr="00407139">
        <w:rPr>
          <w:rFonts w:eastAsia="SimSun"/>
          <w:lang w:eastAsia="zh-CN"/>
        </w:rPr>
        <w:t xml:space="preserve"> (50).</w:t>
      </w:r>
    </w:p>
    <w:p w:rsidR="003934EC" w:rsidRPr="00407139" w:rsidRDefault="003934EC" w:rsidP="003934EC">
      <w:pPr>
        <w:spacing w:after="0" w:line="264" w:lineRule="auto"/>
        <w:rPr>
          <w:rFonts w:eastAsia="SimSun"/>
          <w:u w:val="single"/>
          <w:lang w:eastAsia="zh-CN"/>
        </w:rPr>
      </w:pPr>
    </w:p>
    <w:p w:rsidR="003934EC" w:rsidRPr="00407139" w:rsidRDefault="003934EC" w:rsidP="003934EC">
      <w:pPr>
        <w:spacing w:after="0" w:line="264" w:lineRule="auto"/>
        <w:rPr>
          <w:rFonts w:eastAsia="SimSun"/>
          <w:lang w:eastAsia="zh-CN"/>
        </w:rPr>
      </w:pPr>
      <w:r w:rsidRPr="00407139">
        <w:rPr>
          <w:rFonts w:eastAsia="SimSun"/>
          <w:u w:val="single"/>
          <w:lang w:eastAsia="zh-CN"/>
        </w:rPr>
        <w:t xml:space="preserve">II) </w:t>
      </w:r>
      <w:r w:rsidRPr="00407139">
        <w:rPr>
          <w:rFonts w:eastAsia="SimSun"/>
          <w:lang w:eastAsia="zh-CN"/>
        </w:rPr>
        <w:t xml:space="preserve">Total End of Life </w:t>
      </w:r>
      <w:proofErr w:type="gramStart"/>
      <w:r w:rsidRPr="00407139">
        <w:rPr>
          <w:rFonts w:eastAsia="SimSun"/>
          <w:lang w:eastAsia="zh-CN"/>
        </w:rPr>
        <w:t>between 1975 - 2010</w:t>
      </w:r>
      <w:proofErr w:type="gramEnd"/>
      <w:r w:rsidRPr="00407139">
        <w:rPr>
          <w:rFonts w:eastAsia="SimSun"/>
          <w:lang w:eastAsia="zh-CN"/>
        </w:rPr>
        <w:t xml:space="preserve">: </w:t>
      </w:r>
    </w:p>
    <w:p w:rsidR="003934EC" w:rsidRPr="00407139" w:rsidRDefault="003934EC" w:rsidP="003934EC">
      <w:pPr>
        <w:numPr>
          <w:ilvl w:val="3"/>
          <w:numId w:val="3"/>
        </w:numPr>
        <w:tabs>
          <w:tab w:val="clear" w:pos="2880"/>
          <w:tab w:val="num" w:pos="770"/>
        </w:tabs>
        <w:snapToGrid/>
        <w:spacing w:after="0" w:line="264" w:lineRule="auto"/>
        <w:ind w:hanging="2550"/>
        <w:rPr>
          <w:rFonts w:eastAsia="SimSun"/>
          <w:lang w:eastAsia="zh-CN"/>
        </w:rPr>
      </w:pPr>
      <w:r w:rsidRPr="00407139">
        <w:rPr>
          <w:rFonts w:eastAsia="SimSun"/>
          <w:lang w:eastAsia="zh-CN"/>
        </w:rPr>
        <w:t xml:space="preserve">15 million passenger cars, 0.5 million busses and 0.4 million trucks; </w:t>
      </w:r>
    </w:p>
    <w:p w:rsidR="003934EC" w:rsidRPr="00407139" w:rsidRDefault="003934EC" w:rsidP="003934EC">
      <w:pPr>
        <w:snapToGrid/>
        <w:spacing w:after="0" w:line="264" w:lineRule="auto"/>
        <w:ind w:firstLine="720"/>
        <w:rPr>
          <w:rFonts w:eastAsia="SimSun"/>
          <w:lang w:eastAsia="zh-CN"/>
        </w:rPr>
      </w:pPr>
      <w:r w:rsidRPr="00407139">
        <w:rPr>
          <w:rFonts w:eastAsia="SimSun"/>
          <w:lang w:eastAsia="zh-CN"/>
        </w:rPr>
        <w:t xml:space="preserve"> 99% of these vehicles have been produced before 2005; </w:t>
      </w:r>
    </w:p>
    <w:p w:rsidR="003934EC" w:rsidRPr="00407139" w:rsidRDefault="003934EC" w:rsidP="003934EC">
      <w:pPr>
        <w:snapToGrid/>
        <w:spacing w:after="0" w:line="264" w:lineRule="auto"/>
        <w:rPr>
          <w:rFonts w:eastAsia="SimSun"/>
          <w:lang w:eastAsia="zh-CN"/>
        </w:rPr>
      </w:pPr>
      <w:r w:rsidRPr="00407139">
        <w:rPr>
          <w:rFonts w:eastAsia="SimSun"/>
          <w:lang w:eastAsia="zh-CN"/>
        </w:rPr>
        <w:t>Regional distribution of these vehicles were thought to be similar to the current car and bus fleet</w:t>
      </w:r>
    </w:p>
    <w:p w:rsidR="003934EC" w:rsidRPr="00407139" w:rsidRDefault="003934EC" w:rsidP="003934EC">
      <w:pPr>
        <w:snapToGrid/>
        <w:spacing w:after="0" w:line="264" w:lineRule="auto"/>
        <w:ind w:left="770" w:hanging="770"/>
        <w:rPr>
          <w:rFonts w:eastAsia="SimSun"/>
          <w:lang w:eastAsia="zh-CN"/>
        </w:rPr>
      </w:pPr>
      <w:r w:rsidRPr="00407139">
        <w:rPr>
          <w:rFonts w:eastAsia="SimSun"/>
          <w:lang w:eastAsia="zh-CN"/>
        </w:rPr>
        <w:t xml:space="preserve">      (</w:t>
      </w:r>
      <w:smartTag w:uri="urn:schemas-microsoft-com:office:smarttags" w:element="place">
        <w:r w:rsidRPr="00407139">
          <w:rPr>
            <w:rFonts w:eastAsia="SimSun"/>
            <w:lang w:eastAsia="zh-CN"/>
          </w:rPr>
          <w:t>Asia</w:t>
        </w:r>
      </w:smartTag>
      <w:r w:rsidRPr="00407139">
        <w:rPr>
          <w:rFonts w:eastAsia="SimSun"/>
          <w:lang w:eastAsia="zh-CN"/>
        </w:rPr>
        <w:t xml:space="preserve"> (40%), </w:t>
      </w:r>
      <w:smartTag w:uri="urn:schemas-microsoft-com:office:smarttags" w:element="place">
        <w:r w:rsidRPr="00407139">
          <w:rPr>
            <w:rFonts w:eastAsia="SimSun"/>
            <w:lang w:eastAsia="zh-CN"/>
          </w:rPr>
          <w:t>Europe</w:t>
        </w:r>
      </w:smartTag>
      <w:r w:rsidRPr="00407139">
        <w:rPr>
          <w:rFonts w:eastAsia="SimSun"/>
          <w:lang w:eastAsia="zh-CN"/>
        </w:rPr>
        <w:t xml:space="preserve"> (35%) </w:t>
      </w:r>
      <w:smartTag w:uri="urn:schemas-microsoft-com:office:smarttags" w:element="place">
        <w:r w:rsidRPr="00407139">
          <w:rPr>
            <w:rFonts w:eastAsia="SimSun"/>
            <w:lang w:eastAsia="zh-CN"/>
          </w:rPr>
          <w:t>North America</w:t>
        </w:r>
      </w:smartTag>
      <w:r w:rsidRPr="00407139">
        <w:rPr>
          <w:rFonts w:eastAsia="SimSun"/>
          <w:lang w:eastAsia="zh-CN"/>
        </w:rPr>
        <w:t xml:space="preserve"> (25%)); and trucks (</w:t>
      </w:r>
      <w:smartTag w:uri="urn:schemas-microsoft-com:office:smarttags" w:element="place">
        <w:r w:rsidRPr="00407139">
          <w:rPr>
            <w:rFonts w:eastAsia="SimSun"/>
            <w:lang w:eastAsia="zh-CN"/>
          </w:rPr>
          <w:t>Europe</w:t>
        </w:r>
      </w:smartTag>
      <w:r w:rsidRPr="00407139">
        <w:rPr>
          <w:rFonts w:eastAsia="SimSun"/>
          <w:lang w:eastAsia="zh-CN"/>
        </w:rPr>
        <w:t xml:space="preserve"> (50%) and </w:t>
      </w:r>
      <w:smartTag w:uri="urn:schemas-microsoft-com:office:smarttags" w:element="place">
        <w:r w:rsidRPr="00407139">
          <w:rPr>
            <w:rFonts w:eastAsia="SimSun"/>
            <w:lang w:eastAsia="zh-CN"/>
          </w:rPr>
          <w:t>North America</w:t>
        </w:r>
      </w:smartTag>
      <w:r w:rsidRPr="00407139">
        <w:rPr>
          <w:rFonts w:eastAsia="SimSun"/>
          <w:lang w:eastAsia="zh-CN"/>
        </w:rPr>
        <w:t xml:space="preserve"> (50); 80% have been subjected to some form of End of Life treatment (recovery of economically viable parts, e.g. iron, tyres, catalyst converters, copper from cables</w:t>
      </w:r>
      <w:proofErr w:type="gramStart"/>
      <w:r w:rsidRPr="00407139">
        <w:rPr>
          <w:rFonts w:eastAsia="SimSun"/>
          <w:lang w:eastAsia="zh-CN"/>
        </w:rPr>
        <w:t>);</w:t>
      </w:r>
      <w:proofErr w:type="gramEnd"/>
    </w:p>
    <w:p w:rsidR="003934EC" w:rsidRPr="00407139" w:rsidRDefault="003934EC" w:rsidP="003934EC">
      <w:pPr>
        <w:snapToGrid/>
        <w:spacing w:after="0" w:line="264" w:lineRule="auto"/>
        <w:rPr>
          <w:rFonts w:eastAsia="SimSun"/>
          <w:lang w:eastAsia="zh-CN"/>
        </w:rPr>
      </w:pPr>
      <w:r w:rsidRPr="00407139">
        <w:rPr>
          <w:rFonts w:eastAsia="SimSun"/>
          <w:lang w:eastAsia="zh-CN"/>
        </w:rPr>
        <w:t xml:space="preserve">      •       Iron, copper and catalysts have subsequently been exported;</w:t>
      </w:r>
    </w:p>
    <w:p w:rsidR="003934EC" w:rsidRPr="00407139" w:rsidRDefault="003934EC" w:rsidP="003934EC">
      <w:pPr>
        <w:snapToGrid/>
        <w:spacing w:after="0" w:line="264" w:lineRule="auto"/>
        <w:rPr>
          <w:rFonts w:eastAsia="SimSun"/>
          <w:lang w:eastAsia="zh-CN"/>
        </w:rPr>
      </w:pPr>
      <w:r w:rsidRPr="00407139">
        <w:rPr>
          <w:rFonts w:eastAsia="SimSun"/>
          <w:lang w:eastAsia="zh-CN"/>
        </w:rPr>
        <w:t xml:space="preserve">      •       No recycling has been reported for plastic and polyurethane foam from car and bus but has </w:t>
      </w:r>
      <w:proofErr w:type="gramStart"/>
      <w:r w:rsidRPr="00407139">
        <w:rPr>
          <w:rFonts w:eastAsia="SimSun"/>
          <w:lang w:eastAsia="zh-CN"/>
        </w:rPr>
        <w:t>been  deposited</w:t>
      </w:r>
      <w:proofErr w:type="gramEnd"/>
      <w:r w:rsidRPr="00407139">
        <w:rPr>
          <w:rFonts w:eastAsia="SimSun"/>
          <w:lang w:eastAsia="zh-CN"/>
        </w:rPr>
        <w:t xml:space="preserve"> to landfills and dump sites;</w:t>
      </w:r>
    </w:p>
    <w:p w:rsidR="003934EC" w:rsidRPr="00407139" w:rsidRDefault="003934EC" w:rsidP="003934EC">
      <w:pPr>
        <w:snapToGrid/>
        <w:spacing w:after="0" w:line="264" w:lineRule="auto"/>
        <w:rPr>
          <w:rFonts w:ascii="Times New Roman" w:eastAsia="SimSun" w:hAnsi="Times New Roman"/>
          <w:sz w:val="24"/>
          <w:szCs w:val="24"/>
          <w:lang w:eastAsia="zh-CN"/>
        </w:rPr>
      </w:pPr>
      <w:r w:rsidRPr="00407139">
        <w:rPr>
          <w:rFonts w:eastAsia="SimSun"/>
          <w:lang w:eastAsia="zh-CN"/>
        </w:rPr>
        <w:t xml:space="preserve">      •       20% of these are stored in scrap yards and near the road side awaiting further waste management.</w:t>
      </w: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eastAsia="SimSun"/>
        </w:rPr>
      </w:pPr>
      <w:r w:rsidRPr="00407139">
        <w:rPr>
          <w:rFonts w:eastAsia="SimSun"/>
          <w:lang w:eastAsia="zh-CN"/>
        </w:rPr>
        <w:t>Amount of POP-POP-PBDESs in vehicle in current use of the inventory year 2010 (please note that only the vehicles produced between 1985 and 2004 are considered for the POP-PBDES inventory)</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2426"/>
        <w:gridCol w:w="4525"/>
      </w:tblGrid>
      <w:tr w:rsidR="003934EC" w:rsidRPr="00407139" w:rsidTr="002F5D03">
        <w:trPr>
          <w:trHeight w:val="876"/>
        </w:trPr>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lastRenderedPageBreak/>
              <w:t>Number of cars/trucks (produced in US before 2005)</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POP-POP-PBDESs in cars in </w:t>
            </w:r>
            <w:r w:rsidRPr="00407139">
              <w:rPr>
                <w:rStyle w:val="PageNumber"/>
              </w:rPr>
              <w:t>use</w:t>
            </w:r>
            <w:r w:rsidRPr="00407139">
              <w:t xml:space="preserve"> and formerly produced in US</w:t>
            </w:r>
            <w:r w:rsidRPr="00407139">
              <w:rPr>
                <w:rStyle w:val="PageNumber"/>
              </w:rPr>
              <w:t xml:space="preserve"> in 2010</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 xml:space="preserve">21a)  </w:t>
            </w:r>
          </w:p>
          <w:p w:rsidR="003934EC" w:rsidRPr="00407139" w:rsidRDefault="003934EC" w:rsidP="002F5D03">
            <w:pPr>
              <w:rPr>
                <w:rFonts w:cs="Calibri"/>
              </w:rPr>
            </w:pPr>
            <w:r w:rsidRPr="00407139">
              <w:rPr>
                <w:rFonts w:cs="Calibri"/>
              </w:rPr>
              <w:t>Cars: 10 million x 0.6 x 0.25 = 1,500,000</w:t>
            </w:r>
          </w:p>
          <w:p w:rsidR="003934EC" w:rsidRPr="00407139" w:rsidRDefault="003934EC" w:rsidP="002F5D03">
            <w:pPr>
              <w:rPr>
                <w:rFonts w:cs="Calibri"/>
              </w:rPr>
            </w:pPr>
            <w:r w:rsidRPr="00407139">
              <w:rPr>
                <w:rFonts w:cs="Calibri"/>
              </w:rPr>
              <w:t>Trucks: 0.12 million x 0.75 x 0.5 = 45,000</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g/car</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No. of cars and trucks (1,545,000 ) x 0.16 kg x 0.5*=  123,600 kg</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cars/trucks in use (produced in non-US regions before 2005)</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r w:rsidRPr="00407139">
              <w:t xml:space="preserve">Total amount POP-POP-PBDESs in cars in </w:t>
            </w:r>
            <w:r w:rsidRPr="00407139">
              <w:rPr>
                <w:rStyle w:val="PageNumber"/>
              </w:rPr>
              <w:t>use</w:t>
            </w:r>
            <w:r w:rsidRPr="00407139">
              <w:t xml:space="preserve"> (formerly produced</w:t>
            </w:r>
            <w:r w:rsidRPr="00407139">
              <w:rPr>
                <w:rStyle w:val="PageNumber"/>
              </w:rPr>
              <w:t xml:space="preserve"> in regions other than US) in 2010</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21b)</w:t>
            </w:r>
          </w:p>
          <w:p w:rsidR="003934EC" w:rsidRPr="00407139" w:rsidRDefault="003934EC" w:rsidP="002F5D03">
            <w:pPr>
              <w:rPr>
                <w:rFonts w:cs="Calibri"/>
              </w:rPr>
            </w:pPr>
            <w:r w:rsidRPr="00407139">
              <w:rPr>
                <w:rFonts w:cs="Calibri"/>
              </w:rPr>
              <w:t>Cars: 10 million x 0.6 x 0.75 = 4,500,000</w:t>
            </w:r>
          </w:p>
          <w:p w:rsidR="003934EC" w:rsidRPr="00407139" w:rsidRDefault="003934EC" w:rsidP="002F5D03">
            <w:pPr>
              <w:rPr>
                <w:rFonts w:cs="Calibri"/>
              </w:rPr>
            </w:pPr>
            <w:r w:rsidRPr="00407139">
              <w:rPr>
                <w:rFonts w:cs="Calibri"/>
              </w:rPr>
              <w:t>Trucks: 0.12 million x 0.75 x 0.5 = 45,000 million</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g/car</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cars and trucks (4,545,000) x 0.16 kg x 0.05*= 36,360 kg</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busses in use (produced in US before 2005)</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Style w:val="PageNumber"/>
              </w:rPr>
              <w:t>Amount of c-PentaBDE</w:t>
            </w:r>
            <w:r w:rsidRPr="00407139">
              <w:t xml:space="preserv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POP-POP-PBDESs in busses in </w:t>
            </w:r>
            <w:r w:rsidRPr="00407139">
              <w:rPr>
                <w:rStyle w:val="PageNumber"/>
              </w:rPr>
              <w:t>use</w:t>
            </w:r>
            <w:r w:rsidRPr="00407139">
              <w:t xml:space="preserve"> (formerly produced in US)</w:t>
            </w:r>
            <w:r w:rsidRPr="00407139">
              <w:rPr>
                <w:rStyle w:val="PageNumber"/>
              </w:rPr>
              <w:t xml:space="preserve"> in 2010</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21c)</w:t>
            </w:r>
          </w:p>
          <w:p w:rsidR="003934EC" w:rsidRPr="00407139" w:rsidRDefault="003934EC" w:rsidP="002F5D03">
            <w:pPr>
              <w:rPr>
                <w:rFonts w:cs="Calibri"/>
              </w:rPr>
            </w:pPr>
            <w:r w:rsidRPr="00407139">
              <w:rPr>
                <w:rFonts w:cs="Calibri"/>
              </w:rPr>
              <w:t>0.4 million x 0.75 x 0.25 = 75,000</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(75,000) x 1 kg x 0.5*= 37,500 kg</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busses  in use (produced in other regions before 2005)</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POP-POP-PBDESs in cars in </w:t>
            </w:r>
            <w:r w:rsidRPr="00407139">
              <w:rPr>
                <w:rStyle w:val="PageNumber"/>
              </w:rPr>
              <w:t>use</w:t>
            </w:r>
            <w:r w:rsidRPr="00407139">
              <w:t xml:space="preserve"> (formerly produced in </w:t>
            </w:r>
            <w:r w:rsidRPr="00407139">
              <w:rPr>
                <w:rStyle w:val="PageNumber"/>
              </w:rPr>
              <w:t>regions other than US) in 2010</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21d)</w:t>
            </w:r>
          </w:p>
          <w:p w:rsidR="003934EC" w:rsidRPr="00407139" w:rsidRDefault="003934EC" w:rsidP="002F5D03">
            <w:pPr>
              <w:rPr>
                <w:rFonts w:cs="Calibri"/>
              </w:rPr>
            </w:pPr>
            <w:r w:rsidRPr="00407139">
              <w:rPr>
                <w:rFonts w:cs="Calibri"/>
              </w:rPr>
              <w:t>0.4 million x 0.75 x 0.75 = 225,000</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(225,000) x 1 kg x 0.05*= 11,250 kg</w:t>
            </w:r>
          </w:p>
        </w:tc>
      </w:tr>
      <w:tr w:rsidR="003934EC" w:rsidRPr="00407139" w:rsidTr="002F5D03">
        <w:tc>
          <w:tcPr>
            <w:tcW w:w="2461"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Total POP-POP-PBDESs 21)</w:t>
            </w:r>
          </w:p>
        </w:tc>
        <w:tc>
          <w:tcPr>
            <w:tcW w:w="2426" w:type="dxa"/>
            <w:tcBorders>
              <w:top w:val="single" w:sz="4" w:space="0" w:color="auto"/>
              <w:left w:val="single" w:sz="4" w:space="0" w:color="auto"/>
              <w:bottom w:val="single" w:sz="4" w:space="0" w:color="auto"/>
              <w:right w:val="single" w:sz="4" w:space="0" w:color="auto"/>
            </w:tcBorders>
          </w:tcPr>
          <w:p w:rsidR="003934EC" w:rsidRPr="00407139" w:rsidRDefault="003934EC" w:rsidP="002F5D03"/>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 xml:space="preserve">Sum of POP-POP-PBDESs: 208,710 Kg </w:t>
            </w:r>
          </w:p>
        </w:tc>
      </w:tr>
    </w:tbl>
    <w:p w:rsidR="003934EC" w:rsidRPr="00407139" w:rsidRDefault="003934EC" w:rsidP="003934EC">
      <w:pPr>
        <w:rPr>
          <w:rFonts w:cs="Calibri"/>
        </w:rPr>
      </w:pPr>
      <w:r w:rsidRPr="00407139">
        <w:t xml:space="preserve">   *factors derived from the estimated share of vehicles impacted with POP-POP-PBDESs from the </w:t>
      </w:r>
      <w:smartTag w:uri="urn:schemas-microsoft-com:office:smarttags" w:element="country-region">
        <w:smartTag w:uri="urn:schemas-microsoft-com:office:smarttags" w:element="place">
          <w:r w:rsidRPr="00407139">
            <w:t>US</w:t>
          </w:r>
        </w:smartTag>
      </w:smartTag>
      <w:r w:rsidRPr="00407139">
        <w:t xml:space="preserve"> (50%) and non-US (5%) regions (vehicles </w:t>
      </w:r>
      <w:proofErr w:type="gramStart"/>
      <w:r w:rsidRPr="00407139">
        <w:t>produced  from</w:t>
      </w:r>
      <w:proofErr w:type="gramEnd"/>
      <w:r w:rsidRPr="00407139">
        <w:t xml:space="preserve"> 1975 to 2004).</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Amount of POP-POP-PBDESs in imported vehicles for the inventory year 2010 (please note that only the vehicles produces between 1975 and 2004 are considered for the POP-PBDES inventory)</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353"/>
        <w:gridCol w:w="4525"/>
      </w:tblGrid>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lastRenderedPageBreak/>
              <w:t>Number of imported cars/trucks (produced in US before 2005)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POP-PBDES in cars imported from US </w:t>
            </w:r>
            <w:r w:rsidRPr="00407139">
              <w:rPr>
                <w:rStyle w:val="PageNumber"/>
              </w:rPr>
              <w:t>in 2010</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22a)</w:t>
            </w:r>
          </w:p>
          <w:p w:rsidR="003934EC" w:rsidRPr="00407139" w:rsidRDefault="003934EC" w:rsidP="002F5D03">
            <w:pPr>
              <w:rPr>
                <w:rFonts w:cs="Calibri"/>
              </w:rPr>
            </w:pPr>
            <w:r w:rsidRPr="00407139">
              <w:rPr>
                <w:rFonts w:cs="Calibri"/>
              </w:rPr>
              <w:t>Cars: 1 million x 0.2 x 0.2 = 40,000</w:t>
            </w:r>
          </w:p>
          <w:p w:rsidR="003934EC" w:rsidRPr="00407139" w:rsidRDefault="003934EC" w:rsidP="002F5D03">
            <w:pPr>
              <w:rPr>
                <w:rFonts w:cs="Calibri"/>
              </w:rPr>
            </w:pPr>
            <w:r w:rsidRPr="00407139">
              <w:rPr>
                <w:rFonts w:cs="Calibri"/>
              </w:rPr>
              <w:t>Trucks: 20,000 x 0.4 x 0.5 = 4,000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No. of cars and trucks (44,000) x 0.16 kg x 0.5*= 3,520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imported cars/trucks (produced in other regions before 2005)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POP-PBDES in cars imported </w:t>
            </w:r>
            <w:r w:rsidRPr="00407139">
              <w:rPr>
                <w:rStyle w:val="PageNumber"/>
              </w:rPr>
              <w:t>in 2010</w:t>
            </w:r>
            <w:r w:rsidRPr="00407139">
              <w:t>from regions other than US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22b)</w:t>
            </w:r>
          </w:p>
          <w:p w:rsidR="003934EC" w:rsidRPr="00407139" w:rsidRDefault="003934EC" w:rsidP="002F5D03">
            <w:pPr>
              <w:rPr>
                <w:rFonts w:cs="Calibri"/>
              </w:rPr>
            </w:pPr>
            <w:r w:rsidRPr="00407139">
              <w:rPr>
                <w:rFonts w:cs="Calibri"/>
              </w:rPr>
              <w:t>Cars: 1 million x 0.2 x 0.8 = 160,000</w:t>
            </w:r>
          </w:p>
          <w:p w:rsidR="003934EC" w:rsidRPr="00407139" w:rsidRDefault="003934EC" w:rsidP="002F5D03">
            <w:pPr>
              <w:rPr>
                <w:rFonts w:cs="Calibri"/>
              </w:rPr>
            </w:pPr>
            <w:r w:rsidRPr="00407139">
              <w:rPr>
                <w:rFonts w:cs="Calibri"/>
              </w:rPr>
              <w:t>Trucks: 20,000 x 0.4 x 0.5 = 4,000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cars and trucks (164,000) x 0.16 kg x 0.05*= 1,312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imported bu</w:t>
            </w:r>
            <w:r w:rsidRPr="00407139">
              <w:rPr>
                <w:rStyle w:val="PageNumber"/>
              </w:rPr>
              <w:t>sses (produced in US before 200</w:t>
            </w:r>
            <w:r w:rsidRPr="00407139">
              <w:t>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PentaBDE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POP-PBDES in imported busses in use </w:t>
            </w:r>
            <w:r w:rsidRPr="00407139">
              <w:rPr>
                <w:rStyle w:val="PageNumber"/>
              </w:rPr>
              <w:t>(produced in US before 200</w:t>
            </w:r>
            <w:r w:rsidRPr="00407139">
              <w:t>5)</w:t>
            </w:r>
            <w:r w:rsidRPr="00407139">
              <w:rPr>
                <w:rStyle w:val="PageNumber"/>
              </w:rPr>
              <w:t xml:space="preserve"> in 2010</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22c)</w:t>
            </w:r>
          </w:p>
          <w:p w:rsidR="003934EC" w:rsidRPr="00407139" w:rsidRDefault="003934EC" w:rsidP="002F5D03">
            <w:pPr>
              <w:rPr>
                <w:rFonts w:cs="Calibri"/>
              </w:rPr>
            </w:pPr>
            <w:r w:rsidRPr="00407139">
              <w:rPr>
                <w:rFonts w:cs="Calibri"/>
              </w:rPr>
              <w:t>40,000 x 0.4 x 0 = 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(0) x 1 kg x 0.5*= 0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busses (produced before 2005 in regions other then US)</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Style w:val="PageNumber"/>
              </w:rPr>
              <w:t>Amount of PentaBDE</w:t>
            </w:r>
            <w:r w:rsidRPr="00407139">
              <w:t xml:space="preserv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POP-PBDES in imported busses in use </w:t>
            </w:r>
            <w:r w:rsidRPr="00407139">
              <w:rPr>
                <w:rStyle w:val="PageNumber"/>
              </w:rPr>
              <w:t>in 2010 (produced before 200</w:t>
            </w:r>
            <w:r w:rsidRPr="00407139">
              <w:t>5 i</w:t>
            </w:r>
            <w:r w:rsidRPr="00407139">
              <w:rPr>
                <w:rStyle w:val="PageNumber"/>
              </w:rPr>
              <w:t>n regions other than US</w:t>
            </w:r>
            <w:r w:rsidRPr="00407139">
              <w:t>)</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22d)</w:t>
            </w:r>
          </w:p>
          <w:p w:rsidR="003934EC" w:rsidRPr="00407139" w:rsidRDefault="003934EC" w:rsidP="002F5D03">
            <w:pPr>
              <w:rPr>
                <w:rFonts w:cs="Calibri"/>
              </w:rPr>
            </w:pPr>
            <w:r w:rsidRPr="00407139">
              <w:rPr>
                <w:rFonts w:cs="Calibri"/>
              </w:rPr>
              <w:t>40,000 x 0.4 x 1 = 16,000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Style w:val="PageNumber"/>
              </w:rPr>
              <w:t>1000 g</w:t>
            </w:r>
            <w:r w:rsidRPr="00407139">
              <w:t xml:space="preserv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(16,000) x 1 kg x 0.05*= 800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rFonts w:cs="Calibri"/>
                <w:b/>
                <w:bCs/>
              </w:rPr>
              <w:t>Total POP-POP-PBDESs 22)</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 xml:space="preserve">Sum of POP-POP-PBDESs: 5,632 kg </w:t>
            </w:r>
          </w:p>
        </w:tc>
      </w:tr>
    </w:tbl>
    <w:p w:rsidR="003934EC" w:rsidRPr="00407139" w:rsidRDefault="003934EC" w:rsidP="003934EC">
      <w:pPr>
        <w:spacing w:after="0" w:line="264" w:lineRule="auto"/>
        <w:rPr>
          <w:rFonts w:eastAsia="SimSun"/>
          <w:lang w:eastAsia="zh-CN"/>
        </w:rPr>
      </w:pPr>
      <w:r w:rsidRPr="00407139">
        <w:t xml:space="preserve">*factors derived from the estimated share of vehicles impacted with POP-POP-PBDESs from the </w:t>
      </w:r>
      <w:smartTag w:uri="urn:schemas-microsoft-com:office:smarttags" w:element="country-region">
        <w:smartTag w:uri="urn:schemas-microsoft-com:office:smarttags" w:element="place">
          <w:r w:rsidRPr="00407139">
            <w:t>US</w:t>
          </w:r>
        </w:smartTag>
      </w:smartTag>
      <w:r w:rsidRPr="00407139">
        <w:t xml:space="preserve"> (50%) and non-US (5%) regions (vehicles produced from 1975 to 2004).</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Amount of POP-POP-PBDESs in end-of-life vehicles for the inventory year 2010 (please note that only the vehicles produced between 1975 and 2004 are considered for POP-PBDES inventory)</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353"/>
        <w:gridCol w:w="4525"/>
      </w:tblGrid>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ELV cars/trucks (produced in US before 2005)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ELV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POP-PBDES in ELV cars/trucks in 2010 (produced in US before 2005)</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23a)</w:t>
            </w:r>
          </w:p>
          <w:p w:rsidR="003934EC" w:rsidRPr="00407139" w:rsidRDefault="003934EC" w:rsidP="002F5D03">
            <w:pPr>
              <w:rPr>
                <w:rFonts w:cs="Calibri"/>
              </w:rPr>
            </w:pPr>
            <w:r w:rsidRPr="00407139">
              <w:rPr>
                <w:rFonts w:cs="Calibri"/>
              </w:rPr>
              <w:t xml:space="preserve">Cars: 800,000 x 0.95 x </w:t>
            </w:r>
            <w:r w:rsidRPr="00407139">
              <w:rPr>
                <w:rFonts w:cs="Calibri"/>
              </w:rPr>
              <w:lastRenderedPageBreak/>
              <w:t>0.25 = 190,000</w:t>
            </w:r>
          </w:p>
          <w:p w:rsidR="003934EC" w:rsidRPr="00407139" w:rsidRDefault="003934EC" w:rsidP="002F5D03">
            <w:pPr>
              <w:rPr>
                <w:rFonts w:cs="Calibri"/>
              </w:rPr>
            </w:pPr>
            <w:r w:rsidRPr="00407139">
              <w:rPr>
                <w:rFonts w:cs="Calibri"/>
              </w:rPr>
              <w:t>Trucks: 20,000 x 0.95 x 0.5 = 9,500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lastRenderedPageBreak/>
              <w:t>160 g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No. of cars and trucks (199,500) x 0.16 kg x 0.5*= 15,960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lastRenderedPageBreak/>
              <w:t>Number of ELV cars/trucks (produced in other regions before 2005)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POP-PBDES in ELV cars/trucks in 2010 (produced in other regions than US before 2005)</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23b)</w:t>
            </w:r>
          </w:p>
          <w:p w:rsidR="003934EC" w:rsidRPr="00407139" w:rsidRDefault="003934EC" w:rsidP="002F5D03">
            <w:pPr>
              <w:rPr>
                <w:rFonts w:cs="Calibri"/>
              </w:rPr>
            </w:pPr>
            <w:r w:rsidRPr="00407139">
              <w:rPr>
                <w:rFonts w:cs="Calibri"/>
              </w:rPr>
              <w:t>Cars: 800,000 x 0.95 x 0.75 = 570,000</w:t>
            </w:r>
          </w:p>
          <w:p w:rsidR="003934EC" w:rsidRPr="00407139" w:rsidRDefault="003934EC" w:rsidP="002F5D03">
            <w:pPr>
              <w:rPr>
                <w:rFonts w:cs="Calibri"/>
              </w:rPr>
            </w:pPr>
            <w:r w:rsidRPr="00407139">
              <w:rPr>
                <w:rFonts w:cs="Calibri"/>
              </w:rPr>
              <w:t>Trucks: 20,000 x 0.95 x 0.5 = 9,500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cars and trucks (579,500) x 0.16 kg x 0.05*=    4,636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ELV bu</w:t>
            </w:r>
            <w:r w:rsidRPr="00407139">
              <w:rPr>
                <w:rStyle w:val="PageNumber"/>
              </w:rPr>
              <w:t>sses (produced in US before 200</w:t>
            </w:r>
            <w:r w:rsidRPr="00407139">
              <w:t>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POP-PBDES in ELV busses in 2010 (produced in US before 2005)</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23c)</w:t>
            </w:r>
          </w:p>
          <w:p w:rsidR="003934EC" w:rsidRPr="00407139" w:rsidRDefault="003934EC" w:rsidP="002F5D03">
            <w:pPr>
              <w:rPr>
                <w:rFonts w:cs="Calibri"/>
              </w:rPr>
            </w:pPr>
            <w:r w:rsidRPr="00407139">
              <w:rPr>
                <w:rFonts w:cs="Calibri"/>
              </w:rPr>
              <w:t>30,000 x 0.95 x 0.25 = 7,125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(7,125) x 1 kg x 0.5*=    3,562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ELV busses (produced from other regions before 2005)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POP-PBDES in ELV busses in 2010 (produced in other regions than US before 2005)</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23d)</w:t>
            </w:r>
          </w:p>
          <w:p w:rsidR="003934EC" w:rsidRPr="00407139" w:rsidRDefault="003934EC" w:rsidP="002F5D03">
            <w:pPr>
              <w:rPr>
                <w:rFonts w:cs="Calibri"/>
              </w:rPr>
            </w:pPr>
            <w:r w:rsidRPr="00407139">
              <w:rPr>
                <w:rFonts w:cs="Calibri"/>
              </w:rPr>
              <w:t>30,000 x 0.95 x 0.75 = 21,375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(21,375) x 1 kg x 0.05*= 1,068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Total POP-POP-PBDESs 23)</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 xml:space="preserve">Sum of POP-POP-PBDESs: 25,226 kg </w:t>
            </w:r>
          </w:p>
        </w:tc>
      </w:tr>
    </w:tbl>
    <w:p w:rsidR="003934EC" w:rsidRPr="00407139" w:rsidRDefault="003934EC" w:rsidP="003934EC">
      <w:pPr>
        <w:spacing w:after="0" w:line="264" w:lineRule="auto"/>
        <w:rPr>
          <w:rFonts w:eastAsia="SimSun"/>
          <w:lang w:eastAsia="zh-CN"/>
        </w:rPr>
      </w:pPr>
      <w:r w:rsidRPr="00407139">
        <w:t xml:space="preserve">*factors derived from the estimated share of vehicles impacted with POP-POP-PBDESs from the </w:t>
      </w:r>
      <w:smartTag w:uri="urn:schemas-microsoft-com:office:smarttags" w:element="country-region">
        <w:smartTag w:uri="urn:schemas-microsoft-com:office:smarttags" w:element="place">
          <w:r w:rsidRPr="00407139">
            <w:t>US</w:t>
          </w:r>
        </w:smartTag>
      </w:smartTag>
      <w:r w:rsidRPr="00407139">
        <w:t xml:space="preserve"> (50%) and non-US (5%) regions (vehicles produced from 1975 to 2004).</w:t>
      </w:r>
    </w:p>
    <w:p w:rsidR="003934EC" w:rsidRPr="00407139" w:rsidRDefault="003934EC" w:rsidP="003934EC">
      <w:pPr>
        <w:spacing w:after="0" w:line="264" w:lineRule="auto"/>
        <w:rPr>
          <w:rFonts w:ascii="Times New Roman" w:eastAsia="SimSun" w:hAnsi="Times New Roman"/>
          <w:sz w:val="24"/>
          <w:szCs w:val="24"/>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t>Amount of POP-POP-PBDESs in wastes from end-of-life vehicles disposed to landfills/dumps from 1980 until inventory year 2010 in the country (please note that only the vehicles produced between 1975 to 2004 are considered for POP-PBDES inventory)</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353"/>
        <w:gridCol w:w="4525"/>
      </w:tblGrid>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Number of cars/trucks (produced in US before </w:t>
            </w:r>
            <w:r w:rsidRPr="00407139">
              <w:lastRenderedPageBreak/>
              <w:t>2005) where wastes have been disposed.</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lastRenderedPageBreak/>
              <w:t>Amount of c-PentaBDE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 xml:space="preserve">Total amount of POP-POP-PBDESs in disposed wastes from cars/truck (produced in US before </w:t>
            </w:r>
            <w:r w:rsidRPr="00407139">
              <w:lastRenderedPageBreak/>
              <w:t xml:space="preserve">2005) from 1980 to inventory year 20XX </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lastRenderedPageBreak/>
              <w:t>24a)</w:t>
            </w:r>
          </w:p>
          <w:p w:rsidR="003934EC" w:rsidRPr="00407139" w:rsidRDefault="003934EC" w:rsidP="002F5D03">
            <w:pPr>
              <w:rPr>
                <w:rFonts w:cs="Calibri"/>
              </w:rPr>
            </w:pPr>
            <w:r w:rsidRPr="00407139">
              <w:rPr>
                <w:rFonts w:cs="Calibri"/>
              </w:rPr>
              <w:t>Cars: 15 million x 0.99 x 0.25 = 3,712,500</w:t>
            </w:r>
          </w:p>
          <w:p w:rsidR="003934EC" w:rsidRPr="00407139" w:rsidRDefault="003934EC" w:rsidP="002F5D03">
            <w:pPr>
              <w:rPr>
                <w:rFonts w:cs="Calibri"/>
              </w:rPr>
            </w:pPr>
            <w:r w:rsidRPr="00407139">
              <w:rPr>
                <w:rFonts w:cs="Calibri"/>
              </w:rPr>
              <w:t>Trucks: 0.4 million x 0.99 x 0.5 = 198,000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g/car</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No. of cars and trucks (3,910,500) x 0.16 kg x 0.5*= 312,840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cars/trucks (produced in other regions 2005) where wastes have been disposed.</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car/truck</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of POP-POP-PBDESs in disposed wastes from cars/truck (produced in other regions than US before 2005) from 1980 to inventory year 20XX</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24b)</w:t>
            </w:r>
          </w:p>
          <w:p w:rsidR="003934EC" w:rsidRPr="00407139" w:rsidRDefault="003934EC" w:rsidP="002F5D03">
            <w:pPr>
              <w:rPr>
                <w:rFonts w:cs="Calibri"/>
              </w:rPr>
            </w:pPr>
            <w:r w:rsidRPr="00407139">
              <w:rPr>
                <w:rFonts w:cs="Calibri"/>
              </w:rPr>
              <w:t>Cars: 15 million x 0.99 x 0.75 = 11,137,500</w:t>
            </w:r>
          </w:p>
          <w:p w:rsidR="003934EC" w:rsidRPr="00407139" w:rsidRDefault="003934EC" w:rsidP="002F5D03">
            <w:pPr>
              <w:rPr>
                <w:rFonts w:cs="Calibri"/>
              </w:rPr>
            </w:pPr>
            <w:r w:rsidRPr="00407139">
              <w:rPr>
                <w:rFonts w:cs="Calibri"/>
              </w:rPr>
              <w:t>Trucks: 0.4 million x 0.99 x 0.5 = 198,000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160 g/car</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cars and trucks (11,335,500) x 0.16 kg x 0.05*=    90,684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busses (produced in US before 2004)</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of POP-POP-PBDESs in disposed wastes from busses (produced in US before 2005) from 1980 to inventory year 20XX</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24c)</w:t>
            </w:r>
          </w:p>
          <w:p w:rsidR="003934EC" w:rsidRPr="00407139" w:rsidRDefault="003934EC" w:rsidP="002F5D03">
            <w:pPr>
              <w:rPr>
                <w:rFonts w:cs="Calibri"/>
              </w:rPr>
            </w:pPr>
            <w:r w:rsidRPr="00407139">
              <w:rPr>
                <w:rFonts w:cs="Calibri"/>
              </w:rPr>
              <w:t>0.5 million x 0.99 x 0.25 = 123,750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(123,750) x 1 kg x 0.5*= 61,875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Number of busses (produced from other regions before 2005)</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Amount of c-PentaBDE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Total amount of POP-POP-PBDESs in disposed wastes from cars/truck (produced in other regions than US before 2005) from 1980 to inventory year 20XX</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rPr>
                <w:rFonts w:cs="Calibri"/>
              </w:rPr>
              <w:t>24d)</w:t>
            </w:r>
          </w:p>
          <w:p w:rsidR="003934EC" w:rsidRPr="00407139" w:rsidRDefault="003934EC" w:rsidP="002F5D03">
            <w:pPr>
              <w:rPr>
                <w:rFonts w:cs="Calibri"/>
              </w:rPr>
            </w:pPr>
            <w:r w:rsidRPr="00407139">
              <w:rPr>
                <w:rFonts w:cs="Calibri"/>
              </w:rPr>
              <w:t>0.5 million x 0.99 x 0.75 = 371,250</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rPr>
            </w:pPr>
            <w:r w:rsidRPr="00407139">
              <w:t>1000 g per bus</w:t>
            </w:r>
          </w:p>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b/>
                <w:bCs/>
              </w:rPr>
              <w:t>No. of busses (371,250) x 1 kg x 0.05*= 18,562 kg POP-POP-PBDESs</w:t>
            </w:r>
          </w:p>
        </w:tc>
      </w:tr>
      <w:tr w:rsidR="003934EC" w:rsidRPr="00407139" w:rsidTr="002F5D03">
        <w:tc>
          <w:tcPr>
            <w:tcW w:w="2534"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rFonts w:cs="Calibri"/>
                <w:b/>
                <w:bCs/>
              </w:rPr>
            </w:pPr>
            <w:r w:rsidRPr="00407139">
              <w:rPr>
                <w:rFonts w:cs="Calibri"/>
                <w:b/>
                <w:bCs/>
              </w:rPr>
              <w:t xml:space="preserve">Total </w:t>
            </w:r>
            <w:r w:rsidRPr="00407139">
              <w:rPr>
                <w:b/>
                <w:bCs/>
              </w:rPr>
              <w:t>POP-POP-PBDESs</w:t>
            </w:r>
            <w:r w:rsidRPr="00407139">
              <w:rPr>
                <w:rFonts w:cs="Calibri"/>
                <w:b/>
                <w:bCs/>
              </w:rPr>
              <w:t xml:space="preserve"> 24)</w:t>
            </w:r>
          </w:p>
        </w:tc>
        <w:tc>
          <w:tcPr>
            <w:tcW w:w="2353" w:type="dxa"/>
            <w:tcBorders>
              <w:top w:val="single" w:sz="4" w:space="0" w:color="auto"/>
              <w:left w:val="single" w:sz="4" w:space="0" w:color="auto"/>
              <w:bottom w:val="single" w:sz="4" w:space="0" w:color="auto"/>
              <w:right w:val="single" w:sz="4" w:space="0" w:color="auto"/>
            </w:tcBorders>
          </w:tcPr>
          <w:p w:rsidR="003934EC" w:rsidRPr="00407139" w:rsidRDefault="003934EC" w:rsidP="002F5D03"/>
        </w:tc>
        <w:tc>
          <w:tcPr>
            <w:tcW w:w="4525" w:type="dxa"/>
            <w:tcBorders>
              <w:top w:val="single" w:sz="4" w:space="0" w:color="auto"/>
              <w:left w:val="single" w:sz="4" w:space="0" w:color="auto"/>
              <w:bottom w:val="single" w:sz="4" w:space="0" w:color="auto"/>
              <w:right w:val="single" w:sz="4" w:space="0" w:color="auto"/>
            </w:tcBorders>
          </w:tcPr>
          <w:p w:rsidR="003934EC" w:rsidRPr="00407139" w:rsidRDefault="003934EC" w:rsidP="002F5D03">
            <w:pPr>
              <w:rPr>
                <w:b/>
                <w:bCs/>
              </w:rPr>
            </w:pPr>
            <w:r w:rsidRPr="00407139">
              <w:rPr>
                <w:b/>
                <w:bCs/>
              </w:rPr>
              <w:t xml:space="preserve">Sum of POP-POP-PBDESs: 483,961 kg </w:t>
            </w:r>
          </w:p>
        </w:tc>
      </w:tr>
    </w:tbl>
    <w:p w:rsidR="003934EC" w:rsidRPr="00407139" w:rsidRDefault="003934EC" w:rsidP="003934EC">
      <w:pPr>
        <w:spacing w:after="0" w:line="264" w:lineRule="auto"/>
        <w:rPr>
          <w:rFonts w:eastAsia="SimSun"/>
          <w:lang w:eastAsia="zh-CN"/>
        </w:rPr>
      </w:pPr>
      <w:r w:rsidRPr="00407139">
        <w:t xml:space="preserve">*factors derived from the estimated share of vehicles impacted with POP-POP-PBDESs from the </w:t>
      </w:r>
      <w:smartTag w:uri="urn:schemas-microsoft-com:office:smarttags" w:element="country-region">
        <w:smartTag w:uri="urn:schemas-microsoft-com:office:smarttags" w:element="place">
          <w:r w:rsidRPr="00407139">
            <w:t>US</w:t>
          </w:r>
        </w:smartTag>
      </w:smartTag>
      <w:r w:rsidRPr="00407139">
        <w:t xml:space="preserve"> (50%) and non-US (5%) regions (vehicles produced from 1975 to 2004).</w:t>
      </w: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p>
    <w:p w:rsidR="003934EC" w:rsidRPr="00407139" w:rsidRDefault="003934EC" w:rsidP="003934EC">
      <w:pPr>
        <w:spacing w:after="0" w:line="264" w:lineRule="auto"/>
        <w:rPr>
          <w:rFonts w:eastAsia="SimSun"/>
          <w:lang w:eastAsia="zh-CN"/>
        </w:rPr>
      </w:pPr>
      <w:r w:rsidRPr="00407139">
        <w:rPr>
          <w:rFonts w:eastAsia="SimSun"/>
          <w:lang w:eastAsia="zh-CN"/>
        </w:rPr>
        <w:lastRenderedPageBreak/>
        <w:t>Calculation of POP-POP-PBDESs present in the transport sector (date from table 21 to table 24) to the POP-POP-PBDES homologues (</w:t>
      </w:r>
      <w:proofErr w:type="spellStart"/>
      <w:r w:rsidRPr="00407139">
        <w:rPr>
          <w:rFonts w:eastAsia="SimSun"/>
          <w:lang w:eastAsia="zh-CN"/>
        </w:rPr>
        <w:t>TetraBDE</w:t>
      </w:r>
      <w:proofErr w:type="spellEnd"/>
      <w:r w:rsidRPr="00407139">
        <w:rPr>
          <w:rFonts w:eastAsia="SimSun"/>
          <w:lang w:eastAsia="zh-CN"/>
        </w:rPr>
        <w:t xml:space="preserve">, PentaBDE, </w:t>
      </w:r>
      <w:proofErr w:type="spellStart"/>
      <w:r w:rsidRPr="00407139">
        <w:rPr>
          <w:rFonts w:eastAsia="SimSun"/>
          <w:lang w:eastAsia="zh-CN"/>
        </w:rPr>
        <w:t>HexaBDe</w:t>
      </w:r>
      <w:proofErr w:type="spellEnd"/>
      <w:r w:rsidRPr="00407139">
        <w:rPr>
          <w:rFonts w:eastAsia="SimSun"/>
          <w:lang w:eastAsia="zh-CN"/>
        </w:rPr>
        <w:t xml:space="preserve"> and </w:t>
      </w:r>
      <w:proofErr w:type="spellStart"/>
      <w:r w:rsidRPr="00407139">
        <w:rPr>
          <w:rFonts w:eastAsia="SimSun"/>
          <w:lang w:eastAsia="zh-CN"/>
        </w:rPr>
        <w:t>HeptaBDE</w:t>
      </w:r>
      <w:proofErr w:type="spellEnd"/>
      <w:r w:rsidRPr="00407139">
        <w:rPr>
          <w:rFonts w:eastAsia="SimSun"/>
          <w:lang w:eastAsia="zh-CN"/>
        </w:rPr>
        <w:t>) for the relevant life cycle stages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26"/>
        <w:gridCol w:w="1629"/>
        <w:gridCol w:w="1629"/>
        <w:gridCol w:w="1629"/>
        <w:gridCol w:w="1629"/>
      </w:tblGrid>
      <w:tr w:rsidR="003934EC" w:rsidRPr="00407139" w:rsidTr="002F5D03">
        <w:tc>
          <w:tcPr>
            <w:tcW w:w="1316" w:type="dxa"/>
            <w:shd w:val="clear" w:color="auto" w:fill="auto"/>
          </w:tcPr>
          <w:p w:rsidR="003934EC" w:rsidRPr="00407139" w:rsidRDefault="003934EC" w:rsidP="002F5D03">
            <w:pPr>
              <w:rPr>
                <w:rFonts w:cs="Calibri"/>
                <w:lang w:eastAsia="ja-JP"/>
              </w:rPr>
            </w:pPr>
          </w:p>
        </w:tc>
        <w:tc>
          <w:tcPr>
            <w:tcW w:w="1326" w:type="dxa"/>
            <w:shd w:val="clear" w:color="auto" w:fill="auto"/>
          </w:tcPr>
          <w:p w:rsidR="003934EC" w:rsidRPr="00407139" w:rsidRDefault="003934EC" w:rsidP="002F5D03">
            <w:pPr>
              <w:rPr>
                <w:rFonts w:cs="Calibri"/>
                <w:lang w:eastAsia="ja-JP"/>
              </w:rPr>
            </w:pPr>
            <w:r w:rsidRPr="00407139">
              <w:rPr>
                <w:rFonts w:cs="Calibri"/>
                <w:lang w:eastAsia="ja-JP"/>
              </w:rPr>
              <w:t>Distribution homologues  c-PentaBDE</w:t>
            </w:r>
          </w:p>
        </w:tc>
        <w:tc>
          <w:tcPr>
            <w:tcW w:w="1629" w:type="dxa"/>
            <w:shd w:val="clear" w:color="auto" w:fill="auto"/>
          </w:tcPr>
          <w:p w:rsidR="003934EC" w:rsidRPr="00407139" w:rsidRDefault="003934EC" w:rsidP="002F5D03">
            <w:pPr>
              <w:rPr>
                <w:rFonts w:cs="Calibri"/>
                <w:lang w:eastAsia="ja-JP"/>
              </w:rPr>
            </w:pPr>
            <w:r w:rsidRPr="00407139">
              <w:rPr>
                <w:rFonts w:cs="Calibri"/>
                <w:lang w:eastAsia="ja-JP"/>
              </w:rPr>
              <w:t>POP-POP-PBDES in vehicles</w:t>
            </w:r>
            <w:r w:rsidRPr="00407139" w:rsidDel="00F76075">
              <w:rPr>
                <w:rFonts w:cs="Calibri"/>
                <w:lang w:eastAsia="ja-JP"/>
              </w:rPr>
              <w:t xml:space="preserve"> </w:t>
            </w:r>
            <w:r w:rsidRPr="00407139">
              <w:rPr>
                <w:rFonts w:cs="Calibri"/>
                <w:lang w:eastAsia="ja-JP"/>
              </w:rPr>
              <w:t>currently in use in inventory year 2010</w:t>
            </w:r>
          </w:p>
          <w:p w:rsidR="003934EC" w:rsidRPr="00407139" w:rsidRDefault="003934EC" w:rsidP="002F5D03">
            <w:pPr>
              <w:rPr>
                <w:rFonts w:cs="Calibri"/>
                <w:lang w:eastAsia="ja-JP"/>
              </w:rPr>
            </w:pPr>
            <w:r w:rsidRPr="00407139">
              <w:rPr>
                <w:rFonts w:cs="Calibri"/>
                <w:lang w:eastAsia="ja-JP"/>
              </w:rPr>
              <w:t>(in kg)</w:t>
            </w:r>
          </w:p>
        </w:tc>
        <w:tc>
          <w:tcPr>
            <w:tcW w:w="1629" w:type="dxa"/>
            <w:shd w:val="clear" w:color="auto" w:fill="auto"/>
          </w:tcPr>
          <w:p w:rsidR="003934EC" w:rsidRPr="00407139" w:rsidRDefault="003934EC" w:rsidP="002F5D03">
            <w:pPr>
              <w:rPr>
                <w:rFonts w:cs="Calibri"/>
                <w:lang w:eastAsia="ja-JP"/>
              </w:rPr>
            </w:pPr>
            <w:r w:rsidRPr="00407139">
              <w:rPr>
                <w:rFonts w:cs="Calibri"/>
                <w:lang w:eastAsia="ja-JP"/>
              </w:rPr>
              <w:t>POP-POP-PBDES imported</w:t>
            </w:r>
            <w:r w:rsidRPr="00407139">
              <w:rPr>
                <w:rStyle w:val="FootnoteReference"/>
                <w:rFonts w:cs="Calibri"/>
                <w:lang w:eastAsia="ja-JP"/>
              </w:rPr>
              <w:footnoteReference w:id="1"/>
            </w:r>
            <w:r w:rsidRPr="00407139">
              <w:rPr>
                <w:rFonts w:cs="Calibri"/>
                <w:lang w:eastAsia="ja-JP"/>
              </w:rPr>
              <w:t xml:space="preserve"> in vehicles in the inventory year 2010</w:t>
            </w:r>
          </w:p>
          <w:p w:rsidR="003934EC" w:rsidRPr="00407139" w:rsidRDefault="003934EC" w:rsidP="002F5D03">
            <w:pPr>
              <w:rPr>
                <w:rFonts w:cs="Calibri"/>
                <w:lang w:eastAsia="ja-JP"/>
              </w:rPr>
            </w:pPr>
            <w:r w:rsidRPr="00407139">
              <w:rPr>
                <w:rFonts w:cs="Calibri"/>
                <w:lang w:eastAsia="ja-JP"/>
              </w:rPr>
              <w:t>(in kg)</w:t>
            </w:r>
          </w:p>
        </w:tc>
        <w:tc>
          <w:tcPr>
            <w:tcW w:w="1629" w:type="dxa"/>
            <w:shd w:val="clear" w:color="auto" w:fill="auto"/>
          </w:tcPr>
          <w:p w:rsidR="003934EC" w:rsidRPr="00407139" w:rsidRDefault="003934EC" w:rsidP="002F5D03">
            <w:pPr>
              <w:rPr>
                <w:rFonts w:cs="Calibri"/>
                <w:lang w:eastAsia="ja-JP"/>
              </w:rPr>
            </w:pPr>
            <w:r w:rsidRPr="00407139">
              <w:rPr>
                <w:rFonts w:cs="Calibri"/>
                <w:lang w:eastAsia="ja-JP"/>
              </w:rPr>
              <w:t>POP-POP-PBDES in end-of-life vehicles in the inventory year 2010</w:t>
            </w:r>
          </w:p>
          <w:p w:rsidR="003934EC" w:rsidRPr="00407139" w:rsidRDefault="003934EC" w:rsidP="002F5D03">
            <w:pPr>
              <w:rPr>
                <w:rFonts w:cs="Calibri"/>
                <w:lang w:eastAsia="ja-JP"/>
              </w:rPr>
            </w:pPr>
            <w:r w:rsidRPr="00407139">
              <w:rPr>
                <w:rFonts w:cs="Calibri"/>
                <w:lang w:eastAsia="ja-JP"/>
              </w:rPr>
              <w:t>(in kg)</w:t>
            </w:r>
          </w:p>
        </w:tc>
        <w:tc>
          <w:tcPr>
            <w:tcW w:w="1629" w:type="dxa"/>
            <w:shd w:val="clear" w:color="auto" w:fill="auto"/>
          </w:tcPr>
          <w:p w:rsidR="003934EC" w:rsidRPr="00407139" w:rsidRDefault="003934EC" w:rsidP="002F5D03">
            <w:pPr>
              <w:rPr>
                <w:rFonts w:cs="Calibri"/>
                <w:lang w:eastAsia="ja-JP"/>
              </w:rPr>
            </w:pPr>
            <w:r w:rsidRPr="00407139">
              <w:rPr>
                <w:rFonts w:cs="Calibri"/>
                <w:lang w:eastAsia="ja-JP"/>
              </w:rPr>
              <w:t>POP-POP-PBDES disposed off in the past from  the transport sector</w:t>
            </w:r>
          </w:p>
          <w:p w:rsidR="003934EC" w:rsidRPr="00407139" w:rsidRDefault="003934EC" w:rsidP="002F5D03">
            <w:pPr>
              <w:rPr>
                <w:rFonts w:cs="Calibri"/>
                <w:lang w:eastAsia="ja-JP"/>
              </w:rPr>
            </w:pPr>
            <w:r w:rsidRPr="00407139">
              <w:rPr>
                <w:rFonts w:cs="Calibri"/>
                <w:lang w:eastAsia="ja-JP"/>
              </w:rPr>
              <w:t>(in kg)</w:t>
            </w:r>
          </w:p>
        </w:tc>
      </w:tr>
      <w:tr w:rsidR="003934EC" w:rsidRPr="00407139" w:rsidTr="002F5D03">
        <w:tc>
          <w:tcPr>
            <w:tcW w:w="1316" w:type="dxa"/>
            <w:shd w:val="clear" w:color="auto" w:fill="auto"/>
          </w:tcPr>
          <w:p w:rsidR="003934EC" w:rsidRPr="00407139" w:rsidRDefault="003934EC" w:rsidP="002F5D03">
            <w:pPr>
              <w:rPr>
                <w:rFonts w:cs="Calibri"/>
                <w:lang w:eastAsia="ja-JP"/>
              </w:rPr>
            </w:pPr>
            <w:r w:rsidRPr="00407139">
              <w:rPr>
                <w:rFonts w:cs="Calibri"/>
                <w:lang w:eastAsia="ja-JP"/>
              </w:rPr>
              <w:t>Inventoried c-PentaBDE</w:t>
            </w:r>
          </w:p>
        </w:tc>
        <w:tc>
          <w:tcPr>
            <w:tcW w:w="1326" w:type="dxa"/>
            <w:shd w:val="clear" w:color="auto" w:fill="auto"/>
          </w:tcPr>
          <w:p w:rsidR="003934EC" w:rsidRPr="00407139" w:rsidRDefault="003934EC" w:rsidP="002F5D03">
            <w:pPr>
              <w:rPr>
                <w:rFonts w:cs="Calibri"/>
                <w:lang w:eastAsia="ja-JP"/>
              </w:rPr>
            </w:pPr>
          </w:p>
        </w:tc>
        <w:tc>
          <w:tcPr>
            <w:tcW w:w="1629" w:type="dxa"/>
            <w:shd w:val="clear" w:color="auto" w:fill="auto"/>
          </w:tcPr>
          <w:p w:rsidR="003934EC" w:rsidRPr="00407139" w:rsidRDefault="003934EC" w:rsidP="002F5D03">
            <w:pPr>
              <w:rPr>
                <w:rFonts w:cs="Calibri"/>
              </w:rPr>
            </w:pPr>
            <w:r w:rsidRPr="00407139">
              <w:rPr>
                <w:rFonts w:cs="Calibri"/>
              </w:rPr>
              <w:sym w:font="Symbol" w:char="F020"/>
            </w:r>
            <w:r w:rsidRPr="00407139">
              <w:rPr>
                <w:rFonts w:cs="Calibri"/>
              </w:rPr>
              <w:sym w:font="Symbol" w:char="F053"/>
            </w:r>
            <w:r w:rsidRPr="00407139">
              <w:rPr>
                <w:rFonts w:cs="Calibri"/>
              </w:rPr>
              <w:t xml:space="preserve"> POP-POP-PBDESs 21)</w:t>
            </w:r>
          </w:p>
          <w:p w:rsidR="003934EC" w:rsidRPr="00407139" w:rsidRDefault="003934EC" w:rsidP="002F5D03">
            <w:pPr>
              <w:rPr>
                <w:rFonts w:cs="Calibri"/>
              </w:rPr>
            </w:pPr>
            <w:r w:rsidRPr="00407139">
              <w:rPr>
                <w:rFonts w:cs="Calibri"/>
              </w:rPr>
              <w:t>208,710</w:t>
            </w:r>
          </w:p>
          <w:p w:rsidR="003934EC" w:rsidRPr="00407139" w:rsidRDefault="003934EC" w:rsidP="002F5D03">
            <w:r w:rsidRPr="00407139">
              <w:rPr>
                <w:lang w:val="fr-CA"/>
              </w:rPr>
              <w:t>(2.1 x 10</w:t>
            </w:r>
            <w:r w:rsidRPr="00407139">
              <w:rPr>
                <w:vertAlign w:val="superscript"/>
                <w:lang w:val="fr-CA"/>
              </w:rPr>
              <w:t>5</w:t>
            </w:r>
            <w:r w:rsidRPr="00407139">
              <w:rPr>
                <w:lang w:val="fr-CA"/>
              </w:rPr>
              <w:t>)</w:t>
            </w:r>
          </w:p>
        </w:tc>
        <w:tc>
          <w:tcPr>
            <w:tcW w:w="1629" w:type="dxa"/>
            <w:shd w:val="clear" w:color="auto" w:fill="auto"/>
          </w:tcPr>
          <w:p w:rsidR="003934EC" w:rsidRPr="00407139" w:rsidRDefault="003934EC" w:rsidP="002F5D03">
            <w:r w:rsidRPr="00407139">
              <w:rPr>
                <w:rFonts w:cs="Calibri"/>
              </w:rPr>
              <w:sym w:font="Symbol" w:char="F020"/>
            </w:r>
            <w:r w:rsidRPr="00407139">
              <w:rPr>
                <w:rFonts w:cs="Calibri"/>
              </w:rPr>
              <w:sym w:font="Symbol" w:char="F053"/>
            </w:r>
            <w:r w:rsidRPr="00407139">
              <w:rPr>
                <w:rFonts w:cs="Calibri"/>
              </w:rPr>
              <w:t xml:space="preserve"> POP-POP-PBDESs </w:t>
            </w:r>
            <w:r w:rsidRPr="00407139">
              <w:t>22)</w:t>
            </w:r>
          </w:p>
          <w:p w:rsidR="003934EC" w:rsidRPr="00407139" w:rsidRDefault="003934EC" w:rsidP="002F5D03">
            <w:r w:rsidRPr="00407139">
              <w:t>5,632</w:t>
            </w:r>
          </w:p>
          <w:p w:rsidR="003934EC" w:rsidRPr="00407139" w:rsidRDefault="003934EC" w:rsidP="002F5D03">
            <w:r w:rsidRPr="00407139">
              <w:t>(5.6 x 10</w:t>
            </w:r>
            <w:r w:rsidRPr="00407139">
              <w:rPr>
                <w:vertAlign w:val="superscript"/>
              </w:rPr>
              <w:t>3</w:t>
            </w:r>
            <w:r w:rsidRPr="00407139">
              <w:t>)</w:t>
            </w:r>
          </w:p>
        </w:tc>
        <w:tc>
          <w:tcPr>
            <w:tcW w:w="1629" w:type="dxa"/>
            <w:shd w:val="clear" w:color="auto" w:fill="auto"/>
          </w:tcPr>
          <w:p w:rsidR="003934EC" w:rsidRPr="00407139" w:rsidRDefault="003934EC" w:rsidP="002F5D03">
            <w:r w:rsidRPr="00407139">
              <w:rPr>
                <w:rFonts w:cs="Calibri"/>
              </w:rPr>
              <w:sym w:font="Symbol" w:char="F020"/>
            </w:r>
            <w:r w:rsidRPr="00407139">
              <w:rPr>
                <w:rFonts w:cs="Calibri"/>
              </w:rPr>
              <w:sym w:font="Symbol" w:char="F053"/>
            </w:r>
            <w:r w:rsidRPr="00407139">
              <w:rPr>
                <w:rFonts w:cs="Calibri"/>
              </w:rPr>
              <w:t xml:space="preserve"> POP-POP-PBDESs </w:t>
            </w:r>
            <w:r w:rsidRPr="00407139">
              <w:t>23)</w:t>
            </w:r>
          </w:p>
          <w:p w:rsidR="003934EC" w:rsidRPr="00407139" w:rsidRDefault="003934EC" w:rsidP="002F5D03">
            <w:r w:rsidRPr="00407139">
              <w:t>25,226</w:t>
            </w:r>
          </w:p>
          <w:p w:rsidR="003934EC" w:rsidRPr="00407139" w:rsidRDefault="003934EC" w:rsidP="002F5D03">
            <w:r w:rsidRPr="00407139">
              <w:rPr>
                <w:lang w:val="fr-CA"/>
              </w:rPr>
              <w:t>(2.5 x 10</w:t>
            </w:r>
            <w:r w:rsidRPr="00407139">
              <w:rPr>
                <w:vertAlign w:val="superscript"/>
                <w:lang w:val="fr-CA"/>
              </w:rPr>
              <w:t>4</w:t>
            </w:r>
            <w:r w:rsidRPr="00407139">
              <w:rPr>
                <w:lang w:val="fr-CA"/>
              </w:rPr>
              <w:t>)</w:t>
            </w:r>
          </w:p>
        </w:tc>
        <w:tc>
          <w:tcPr>
            <w:tcW w:w="1629" w:type="dxa"/>
            <w:shd w:val="clear" w:color="auto" w:fill="auto"/>
          </w:tcPr>
          <w:p w:rsidR="003934EC" w:rsidRPr="00407139" w:rsidRDefault="003934EC" w:rsidP="002F5D03">
            <w:r w:rsidRPr="00407139">
              <w:rPr>
                <w:rFonts w:cs="Calibri"/>
              </w:rPr>
              <w:sym w:font="Symbol" w:char="F020"/>
            </w:r>
            <w:r w:rsidRPr="00407139">
              <w:rPr>
                <w:rFonts w:cs="Calibri"/>
              </w:rPr>
              <w:sym w:font="Symbol" w:char="F053"/>
            </w:r>
            <w:r w:rsidRPr="00407139">
              <w:rPr>
                <w:rFonts w:cs="Calibri"/>
              </w:rPr>
              <w:t xml:space="preserve"> POP-POP-PBDESs </w:t>
            </w:r>
            <w:r w:rsidRPr="00407139">
              <w:t>24)</w:t>
            </w:r>
          </w:p>
          <w:p w:rsidR="003934EC" w:rsidRPr="00407139" w:rsidRDefault="003934EC" w:rsidP="002F5D03">
            <w:r w:rsidRPr="00407139">
              <w:t>483,961</w:t>
            </w:r>
          </w:p>
          <w:p w:rsidR="003934EC" w:rsidRPr="00407139" w:rsidRDefault="003934EC" w:rsidP="002F5D03">
            <w:pPr>
              <w:rPr>
                <w:lang w:val="fr-CA"/>
              </w:rPr>
            </w:pPr>
            <w:r w:rsidRPr="00407139">
              <w:rPr>
                <w:lang w:val="fr-CA"/>
              </w:rPr>
              <w:t>(4.8 x 10</w:t>
            </w:r>
            <w:r w:rsidRPr="00407139">
              <w:rPr>
                <w:vertAlign w:val="superscript"/>
                <w:lang w:val="fr-CA"/>
              </w:rPr>
              <w:t>5</w:t>
            </w:r>
            <w:r w:rsidRPr="00407139">
              <w:rPr>
                <w:lang w:val="fr-CA"/>
              </w:rPr>
              <w:t>)</w:t>
            </w:r>
          </w:p>
        </w:tc>
      </w:tr>
      <w:tr w:rsidR="003934EC" w:rsidRPr="00407139" w:rsidTr="002F5D03">
        <w:tc>
          <w:tcPr>
            <w:tcW w:w="1316" w:type="dxa"/>
            <w:shd w:val="clear" w:color="auto" w:fill="auto"/>
          </w:tcPr>
          <w:p w:rsidR="003934EC" w:rsidRPr="00407139" w:rsidRDefault="003934EC" w:rsidP="002F5D03">
            <w:pPr>
              <w:rPr>
                <w:lang w:val="fr-CA"/>
              </w:rPr>
            </w:pPr>
            <w:proofErr w:type="spellStart"/>
            <w:r w:rsidRPr="00407139">
              <w:rPr>
                <w:lang w:val="fr-CA"/>
              </w:rPr>
              <w:t>TetraBDE</w:t>
            </w:r>
            <w:proofErr w:type="spellEnd"/>
          </w:p>
        </w:tc>
        <w:tc>
          <w:tcPr>
            <w:tcW w:w="1326" w:type="dxa"/>
            <w:shd w:val="clear" w:color="auto" w:fill="auto"/>
          </w:tcPr>
          <w:p w:rsidR="003934EC" w:rsidRPr="00407139" w:rsidRDefault="003934EC" w:rsidP="002F5D03">
            <w:pPr>
              <w:rPr>
                <w:lang w:val="fr-CA"/>
              </w:rPr>
            </w:pPr>
            <w:r w:rsidRPr="00407139">
              <w:rPr>
                <w:lang w:val="fr-CA"/>
              </w:rPr>
              <w:t>32%</w:t>
            </w:r>
          </w:p>
        </w:tc>
        <w:tc>
          <w:tcPr>
            <w:tcW w:w="1629" w:type="dxa"/>
            <w:shd w:val="clear" w:color="auto" w:fill="auto"/>
          </w:tcPr>
          <w:p w:rsidR="003934EC" w:rsidRPr="00407139" w:rsidRDefault="003934EC" w:rsidP="002F5D03">
            <w:pPr>
              <w:rPr>
                <w:lang w:val="fr-CA"/>
              </w:rPr>
            </w:pPr>
            <w:r w:rsidRPr="00407139">
              <w:rPr>
                <w:lang w:val="fr-CA"/>
              </w:rPr>
              <w:t xml:space="preserve">66,787 </w:t>
            </w:r>
          </w:p>
          <w:p w:rsidR="003934EC" w:rsidRPr="00407139" w:rsidRDefault="003934EC" w:rsidP="002F5D03">
            <w:pPr>
              <w:rPr>
                <w:lang w:val="fr-CA"/>
              </w:rPr>
            </w:pPr>
            <w:r w:rsidRPr="00407139">
              <w:rPr>
                <w:lang w:val="fr-CA"/>
              </w:rPr>
              <w:t>(6.7 x 10</w:t>
            </w:r>
            <w:r w:rsidRPr="00407139">
              <w:rPr>
                <w:vertAlign w:val="superscript"/>
                <w:lang w:val="fr-CA"/>
              </w:rPr>
              <w:t>4</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1,802</w:t>
            </w:r>
          </w:p>
          <w:p w:rsidR="003934EC" w:rsidRPr="00407139" w:rsidRDefault="003934EC" w:rsidP="002F5D03">
            <w:pPr>
              <w:rPr>
                <w:lang w:val="fr-CA"/>
              </w:rPr>
            </w:pPr>
            <w:r w:rsidRPr="00407139">
              <w:rPr>
                <w:lang w:val="fr-CA"/>
              </w:rPr>
              <w:t>(1.8 x 10</w:t>
            </w:r>
            <w:r w:rsidRPr="00407139">
              <w:rPr>
                <w:vertAlign w:val="superscript"/>
                <w:lang w:val="fr-CA"/>
              </w:rPr>
              <w:t>3</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8,072</w:t>
            </w:r>
          </w:p>
          <w:p w:rsidR="003934EC" w:rsidRPr="00407139" w:rsidRDefault="003934EC" w:rsidP="002F5D03">
            <w:pPr>
              <w:rPr>
                <w:lang w:val="fr-CA"/>
              </w:rPr>
            </w:pPr>
            <w:r w:rsidRPr="00407139">
              <w:rPr>
                <w:lang w:val="fr-CA"/>
              </w:rPr>
              <w:t>(8.1 x 10</w:t>
            </w:r>
            <w:r w:rsidRPr="00407139">
              <w:rPr>
                <w:vertAlign w:val="superscript"/>
                <w:lang w:val="fr-CA"/>
              </w:rPr>
              <w:t>3</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154,867</w:t>
            </w:r>
          </w:p>
          <w:p w:rsidR="003934EC" w:rsidRPr="00407139" w:rsidRDefault="003934EC" w:rsidP="002F5D03">
            <w:pPr>
              <w:rPr>
                <w:lang w:val="fr-CA"/>
              </w:rPr>
            </w:pPr>
            <w:r w:rsidRPr="00407139">
              <w:rPr>
                <w:lang w:val="fr-CA"/>
              </w:rPr>
              <w:t>(1.5 x 10</w:t>
            </w:r>
            <w:r w:rsidRPr="00407139">
              <w:rPr>
                <w:vertAlign w:val="superscript"/>
                <w:lang w:val="fr-CA"/>
              </w:rPr>
              <w:t>5</w:t>
            </w:r>
            <w:r w:rsidRPr="00407139">
              <w:rPr>
                <w:lang w:val="fr-CA"/>
              </w:rPr>
              <w:t>)</w:t>
            </w:r>
          </w:p>
        </w:tc>
      </w:tr>
      <w:tr w:rsidR="003934EC" w:rsidRPr="00407139" w:rsidTr="002F5D03">
        <w:tc>
          <w:tcPr>
            <w:tcW w:w="1316" w:type="dxa"/>
            <w:shd w:val="clear" w:color="auto" w:fill="auto"/>
          </w:tcPr>
          <w:p w:rsidR="003934EC" w:rsidRPr="00407139" w:rsidRDefault="003934EC" w:rsidP="002F5D03">
            <w:pPr>
              <w:rPr>
                <w:lang w:val="fr-CA"/>
              </w:rPr>
            </w:pPr>
            <w:r w:rsidRPr="00407139">
              <w:rPr>
                <w:lang w:val="fr-CA"/>
              </w:rPr>
              <w:t>PentaBDE</w:t>
            </w:r>
          </w:p>
        </w:tc>
        <w:tc>
          <w:tcPr>
            <w:tcW w:w="1326" w:type="dxa"/>
            <w:shd w:val="clear" w:color="auto" w:fill="auto"/>
          </w:tcPr>
          <w:p w:rsidR="003934EC" w:rsidRPr="00407139" w:rsidRDefault="003934EC" w:rsidP="002F5D03">
            <w:pPr>
              <w:rPr>
                <w:lang w:val="fr-CA"/>
              </w:rPr>
            </w:pPr>
            <w:r w:rsidRPr="00407139">
              <w:rPr>
                <w:lang w:val="fr-CA"/>
              </w:rPr>
              <w:t>56%</w:t>
            </w:r>
          </w:p>
        </w:tc>
        <w:tc>
          <w:tcPr>
            <w:tcW w:w="1629" w:type="dxa"/>
            <w:shd w:val="clear" w:color="auto" w:fill="auto"/>
          </w:tcPr>
          <w:p w:rsidR="003934EC" w:rsidRPr="00407139" w:rsidRDefault="003934EC" w:rsidP="002F5D03">
            <w:pPr>
              <w:rPr>
                <w:lang w:val="fr-CA"/>
              </w:rPr>
            </w:pPr>
            <w:r w:rsidRPr="00407139">
              <w:rPr>
                <w:lang w:val="fr-CA"/>
              </w:rPr>
              <w:t>116,877</w:t>
            </w:r>
          </w:p>
          <w:p w:rsidR="003934EC" w:rsidRPr="00407139" w:rsidRDefault="003934EC" w:rsidP="002F5D03">
            <w:pPr>
              <w:rPr>
                <w:lang w:val="fr-CA"/>
              </w:rPr>
            </w:pPr>
            <w:r w:rsidRPr="00407139">
              <w:rPr>
                <w:lang w:val="fr-CA"/>
              </w:rPr>
              <w:t>(1.2 x 10</w:t>
            </w:r>
            <w:r w:rsidRPr="00407139">
              <w:rPr>
                <w:vertAlign w:val="superscript"/>
                <w:lang w:val="fr-CA"/>
              </w:rPr>
              <w:t>5</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3,153</w:t>
            </w:r>
          </w:p>
          <w:p w:rsidR="003934EC" w:rsidRPr="00407139" w:rsidRDefault="003934EC" w:rsidP="002F5D03">
            <w:pPr>
              <w:rPr>
                <w:lang w:val="fr-CA"/>
              </w:rPr>
            </w:pPr>
            <w:r w:rsidRPr="00407139">
              <w:rPr>
                <w:lang w:val="fr-CA"/>
              </w:rPr>
              <w:t>(3.1 x 10</w:t>
            </w:r>
            <w:r w:rsidRPr="00407139">
              <w:rPr>
                <w:vertAlign w:val="superscript"/>
                <w:lang w:val="fr-CA"/>
              </w:rPr>
              <w:t>3</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14,126</w:t>
            </w:r>
          </w:p>
          <w:p w:rsidR="003934EC" w:rsidRPr="00407139" w:rsidRDefault="003934EC" w:rsidP="002F5D03">
            <w:pPr>
              <w:rPr>
                <w:lang w:val="fr-CA"/>
              </w:rPr>
            </w:pPr>
            <w:r w:rsidRPr="00407139">
              <w:rPr>
                <w:lang w:val="fr-CA"/>
              </w:rPr>
              <w:t>(1.4 x 10</w:t>
            </w:r>
            <w:r w:rsidRPr="00407139">
              <w:rPr>
                <w:vertAlign w:val="superscript"/>
                <w:lang w:val="fr-CA"/>
              </w:rPr>
              <w:t>4</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271,018</w:t>
            </w:r>
          </w:p>
          <w:p w:rsidR="003934EC" w:rsidRPr="00407139" w:rsidRDefault="003934EC" w:rsidP="002F5D03">
            <w:pPr>
              <w:rPr>
                <w:lang w:val="fr-CA"/>
              </w:rPr>
            </w:pPr>
            <w:r w:rsidRPr="00407139">
              <w:rPr>
                <w:lang w:val="fr-CA"/>
              </w:rPr>
              <w:t>(2.7 x 10</w:t>
            </w:r>
            <w:r w:rsidRPr="00407139">
              <w:rPr>
                <w:vertAlign w:val="superscript"/>
                <w:lang w:val="fr-CA"/>
              </w:rPr>
              <w:t>5</w:t>
            </w:r>
            <w:r w:rsidRPr="00407139">
              <w:rPr>
                <w:lang w:val="fr-CA"/>
              </w:rPr>
              <w:t>)</w:t>
            </w:r>
          </w:p>
        </w:tc>
      </w:tr>
      <w:tr w:rsidR="003934EC" w:rsidRPr="00407139" w:rsidTr="002F5D03">
        <w:tc>
          <w:tcPr>
            <w:tcW w:w="1316" w:type="dxa"/>
            <w:shd w:val="clear" w:color="auto" w:fill="auto"/>
          </w:tcPr>
          <w:p w:rsidR="003934EC" w:rsidRPr="00407139" w:rsidRDefault="003934EC" w:rsidP="002F5D03">
            <w:pPr>
              <w:rPr>
                <w:lang w:val="fr-CA"/>
              </w:rPr>
            </w:pPr>
            <w:proofErr w:type="spellStart"/>
            <w:r w:rsidRPr="00407139">
              <w:rPr>
                <w:lang w:val="fr-CA"/>
              </w:rPr>
              <w:t>HexaBDE</w:t>
            </w:r>
            <w:proofErr w:type="spellEnd"/>
          </w:p>
        </w:tc>
        <w:tc>
          <w:tcPr>
            <w:tcW w:w="1326" w:type="dxa"/>
            <w:shd w:val="clear" w:color="auto" w:fill="auto"/>
          </w:tcPr>
          <w:p w:rsidR="003934EC" w:rsidRPr="00407139" w:rsidRDefault="003934EC" w:rsidP="002F5D03">
            <w:pPr>
              <w:rPr>
                <w:lang w:val="fr-CA"/>
              </w:rPr>
            </w:pPr>
            <w:r w:rsidRPr="00407139">
              <w:rPr>
                <w:lang w:val="fr-CA"/>
              </w:rPr>
              <w:t>9%</w:t>
            </w:r>
          </w:p>
        </w:tc>
        <w:tc>
          <w:tcPr>
            <w:tcW w:w="1629" w:type="dxa"/>
            <w:shd w:val="clear" w:color="auto" w:fill="auto"/>
          </w:tcPr>
          <w:p w:rsidR="003934EC" w:rsidRPr="00407139" w:rsidRDefault="003934EC" w:rsidP="002F5D03">
            <w:pPr>
              <w:rPr>
                <w:lang w:val="fr-CA"/>
              </w:rPr>
            </w:pPr>
            <w:r w:rsidRPr="00407139">
              <w:rPr>
                <w:lang w:val="fr-CA"/>
              </w:rPr>
              <w:t>18,783</w:t>
            </w:r>
          </w:p>
          <w:p w:rsidR="003934EC" w:rsidRPr="00407139" w:rsidRDefault="003934EC" w:rsidP="002F5D03">
            <w:pPr>
              <w:rPr>
                <w:lang w:val="fr-CA"/>
              </w:rPr>
            </w:pPr>
            <w:r w:rsidRPr="00407139">
              <w:rPr>
                <w:lang w:val="fr-CA"/>
              </w:rPr>
              <w:t>(1.9 x 10</w:t>
            </w:r>
            <w:r w:rsidRPr="00407139">
              <w:rPr>
                <w:vertAlign w:val="superscript"/>
                <w:lang w:val="fr-CA"/>
              </w:rPr>
              <w:t>4</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506.88</w:t>
            </w:r>
          </w:p>
          <w:p w:rsidR="003934EC" w:rsidRPr="00407139" w:rsidRDefault="003934EC" w:rsidP="002F5D03">
            <w:pPr>
              <w:rPr>
                <w:lang w:val="fr-CA"/>
              </w:rPr>
            </w:pPr>
            <w:r w:rsidRPr="00407139">
              <w:rPr>
                <w:lang w:val="fr-CA"/>
              </w:rPr>
              <w:t>(5.1 x 10</w:t>
            </w:r>
            <w:r w:rsidRPr="00407139">
              <w:rPr>
                <w:vertAlign w:val="superscript"/>
                <w:lang w:val="fr-CA"/>
              </w:rPr>
              <w:t>2</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2,270</w:t>
            </w:r>
          </w:p>
          <w:p w:rsidR="003934EC" w:rsidRPr="00407139" w:rsidRDefault="003934EC" w:rsidP="002F5D03">
            <w:pPr>
              <w:rPr>
                <w:lang w:val="fr-CA"/>
              </w:rPr>
            </w:pPr>
            <w:r w:rsidRPr="00407139">
              <w:rPr>
                <w:lang w:val="fr-CA"/>
              </w:rPr>
              <w:t>(2.3 x 10</w:t>
            </w:r>
            <w:r w:rsidRPr="00407139">
              <w:rPr>
                <w:vertAlign w:val="superscript"/>
                <w:lang w:val="fr-CA"/>
              </w:rPr>
              <w:t>3</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43,556</w:t>
            </w:r>
          </w:p>
          <w:p w:rsidR="003934EC" w:rsidRPr="00407139" w:rsidRDefault="003934EC" w:rsidP="002F5D03">
            <w:pPr>
              <w:rPr>
                <w:lang w:val="fr-CA"/>
              </w:rPr>
            </w:pPr>
            <w:r w:rsidRPr="00407139">
              <w:rPr>
                <w:lang w:val="fr-CA"/>
              </w:rPr>
              <w:t>(4.3 x 10</w:t>
            </w:r>
            <w:r w:rsidRPr="00407139">
              <w:rPr>
                <w:vertAlign w:val="superscript"/>
                <w:lang w:val="fr-CA"/>
              </w:rPr>
              <w:t>4</w:t>
            </w:r>
            <w:r w:rsidRPr="00407139">
              <w:rPr>
                <w:lang w:val="fr-CA"/>
              </w:rPr>
              <w:t>)</w:t>
            </w:r>
          </w:p>
        </w:tc>
      </w:tr>
      <w:tr w:rsidR="003934EC" w:rsidRPr="002378F0" w:rsidTr="002F5D03">
        <w:tc>
          <w:tcPr>
            <w:tcW w:w="1316" w:type="dxa"/>
            <w:shd w:val="clear" w:color="auto" w:fill="auto"/>
          </w:tcPr>
          <w:p w:rsidR="003934EC" w:rsidRPr="00407139" w:rsidRDefault="003934EC" w:rsidP="002F5D03">
            <w:pPr>
              <w:rPr>
                <w:lang w:val="fr-CA"/>
              </w:rPr>
            </w:pPr>
            <w:proofErr w:type="spellStart"/>
            <w:r w:rsidRPr="00407139">
              <w:rPr>
                <w:lang w:val="fr-CA"/>
              </w:rPr>
              <w:t>HeptaBDE</w:t>
            </w:r>
            <w:proofErr w:type="spellEnd"/>
          </w:p>
        </w:tc>
        <w:tc>
          <w:tcPr>
            <w:tcW w:w="1326" w:type="dxa"/>
            <w:shd w:val="clear" w:color="auto" w:fill="auto"/>
          </w:tcPr>
          <w:p w:rsidR="003934EC" w:rsidRPr="00407139" w:rsidRDefault="003934EC" w:rsidP="002F5D03">
            <w:pPr>
              <w:rPr>
                <w:lang w:val="fr-CA"/>
              </w:rPr>
            </w:pPr>
            <w:r w:rsidRPr="00407139">
              <w:rPr>
                <w:lang w:val="fr-CA"/>
              </w:rPr>
              <w:t>0.5%</w:t>
            </w:r>
          </w:p>
        </w:tc>
        <w:tc>
          <w:tcPr>
            <w:tcW w:w="1629" w:type="dxa"/>
            <w:shd w:val="clear" w:color="auto" w:fill="auto"/>
          </w:tcPr>
          <w:p w:rsidR="003934EC" w:rsidRPr="00407139" w:rsidRDefault="003934EC" w:rsidP="002F5D03">
            <w:pPr>
              <w:rPr>
                <w:lang w:val="fr-CA"/>
              </w:rPr>
            </w:pPr>
            <w:r w:rsidRPr="00407139">
              <w:rPr>
                <w:lang w:val="fr-CA"/>
              </w:rPr>
              <w:t>1,043</w:t>
            </w:r>
          </w:p>
          <w:p w:rsidR="003934EC" w:rsidRPr="00407139" w:rsidRDefault="003934EC" w:rsidP="002F5D03">
            <w:pPr>
              <w:rPr>
                <w:lang w:val="fr-CA"/>
              </w:rPr>
            </w:pPr>
            <w:r w:rsidRPr="00407139">
              <w:rPr>
                <w:lang w:val="fr-CA"/>
              </w:rPr>
              <w:t>(1.0 x 10</w:t>
            </w:r>
            <w:r w:rsidRPr="00407139">
              <w:rPr>
                <w:vertAlign w:val="superscript"/>
                <w:lang w:val="fr-CA"/>
              </w:rPr>
              <w:t>3</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28.16</w:t>
            </w:r>
          </w:p>
          <w:p w:rsidR="003934EC" w:rsidRPr="00407139" w:rsidRDefault="003934EC" w:rsidP="002F5D03">
            <w:pPr>
              <w:rPr>
                <w:lang w:val="fr-CA"/>
              </w:rPr>
            </w:pPr>
            <w:r w:rsidRPr="00407139">
              <w:rPr>
                <w:lang w:val="fr-CA"/>
              </w:rPr>
              <w:t>(2.8 x 10)</w:t>
            </w:r>
          </w:p>
        </w:tc>
        <w:tc>
          <w:tcPr>
            <w:tcW w:w="1629" w:type="dxa"/>
            <w:shd w:val="clear" w:color="auto" w:fill="auto"/>
          </w:tcPr>
          <w:p w:rsidR="003934EC" w:rsidRPr="00407139" w:rsidRDefault="003934EC" w:rsidP="002F5D03">
            <w:pPr>
              <w:rPr>
                <w:lang w:val="fr-CA"/>
              </w:rPr>
            </w:pPr>
            <w:r w:rsidRPr="00407139">
              <w:rPr>
                <w:lang w:val="fr-CA"/>
              </w:rPr>
              <w:t>126.1</w:t>
            </w:r>
          </w:p>
          <w:p w:rsidR="003934EC" w:rsidRPr="00407139" w:rsidRDefault="003934EC" w:rsidP="002F5D03">
            <w:pPr>
              <w:rPr>
                <w:lang w:val="fr-CA"/>
              </w:rPr>
            </w:pPr>
            <w:r w:rsidRPr="00407139">
              <w:rPr>
                <w:lang w:val="fr-CA"/>
              </w:rPr>
              <w:t>(1.3 x 10</w:t>
            </w:r>
            <w:r w:rsidRPr="00407139">
              <w:rPr>
                <w:vertAlign w:val="superscript"/>
                <w:lang w:val="fr-CA"/>
              </w:rPr>
              <w:t>2</w:t>
            </w:r>
            <w:r w:rsidRPr="00407139">
              <w:rPr>
                <w:lang w:val="fr-CA"/>
              </w:rPr>
              <w:t>)</w:t>
            </w:r>
          </w:p>
        </w:tc>
        <w:tc>
          <w:tcPr>
            <w:tcW w:w="1629" w:type="dxa"/>
            <w:shd w:val="clear" w:color="auto" w:fill="auto"/>
          </w:tcPr>
          <w:p w:rsidR="003934EC" w:rsidRPr="00407139" w:rsidRDefault="003934EC" w:rsidP="002F5D03">
            <w:pPr>
              <w:rPr>
                <w:lang w:val="fr-CA"/>
              </w:rPr>
            </w:pPr>
            <w:r w:rsidRPr="00407139">
              <w:rPr>
                <w:lang w:val="fr-CA"/>
              </w:rPr>
              <w:t>2,419.8</w:t>
            </w:r>
          </w:p>
          <w:p w:rsidR="003934EC" w:rsidRPr="00407139" w:rsidRDefault="003934EC" w:rsidP="003934EC">
            <w:pPr>
              <w:pStyle w:val="ListParagraph"/>
              <w:numPr>
                <w:ilvl w:val="1"/>
                <w:numId w:val="4"/>
              </w:numPr>
              <w:rPr>
                <w:lang w:val="fr-CA"/>
              </w:rPr>
            </w:pPr>
            <w:r w:rsidRPr="00407139">
              <w:rPr>
                <w:lang w:val="fr-CA"/>
              </w:rPr>
              <w:t>x 10</w:t>
            </w:r>
            <w:r w:rsidRPr="00407139">
              <w:rPr>
                <w:vertAlign w:val="superscript"/>
                <w:lang w:val="fr-CA"/>
              </w:rPr>
              <w:t>3</w:t>
            </w:r>
            <w:r w:rsidRPr="00407139">
              <w:rPr>
                <w:lang w:val="fr-CA"/>
              </w:rPr>
              <w:t>)</w:t>
            </w:r>
          </w:p>
        </w:tc>
      </w:tr>
    </w:tbl>
    <w:p w:rsidR="003934EC" w:rsidRPr="002378F0" w:rsidRDefault="003934EC" w:rsidP="003934EC">
      <w:pPr>
        <w:pStyle w:val="ListParagraph1"/>
        <w:ind w:left="0"/>
      </w:pPr>
    </w:p>
    <w:p w:rsidR="003934EC" w:rsidRDefault="003934EC" w:rsidP="003934EC">
      <w:r w:rsidRPr="002378F0">
        <w:br w:type="page"/>
      </w:r>
    </w:p>
    <w:p w:rsidR="00052D5F" w:rsidRDefault="00052D5F"/>
    <w:sectPr w:rsidR="00052D5F" w:rsidSect="00052D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D5" w:rsidRDefault="002A08D5" w:rsidP="003934EC">
      <w:pPr>
        <w:spacing w:after="0"/>
      </w:pPr>
      <w:r>
        <w:separator/>
      </w:r>
    </w:p>
  </w:endnote>
  <w:endnote w:type="continuationSeparator" w:id="0">
    <w:p w:rsidR="002A08D5" w:rsidRDefault="002A08D5" w:rsidP="003934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D5" w:rsidRDefault="002A08D5" w:rsidP="003934EC">
      <w:pPr>
        <w:spacing w:after="0"/>
      </w:pPr>
      <w:r>
        <w:separator/>
      </w:r>
    </w:p>
  </w:footnote>
  <w:footnote w:type="continuationSeparator" w:id="0">
    <w:p w:rsidR="002A08D5" w:rsidRDefault="002A08D5" w:rsidP="003934EC">
      <w:pPr>
        <w:spacing w:after="0"/>
      </w:pPr>
      <w:r>
        <w:continuationSeparator/>
      </w:r>
    </w:p>
  </w:footnote>
  <w:footnote w:id="1">
    <w:p w:rsidR="003934EC" w:rsidRPr="009D6569" w:rsidRDefault="003934EC" w:rsidP="003934EC">
      <w:pPr>
        <w:rPr>
          <w:sz w:val="20"/>
        </w:rPr>
      </w:pPr>
      <w:r w:rsidRPr="009D6569">
        <w:rPr>
          <w:rStyle w:val="FootnoteReference"/>
          <w:sz w:val="20"/>
        </w:rPr>
        <w:footnoteRef/>
      </w:r>
      <w:r w:rsidRPr="009D6569">
        <w:rPr>
          <w:sz w:val="20"/>
        </w:rPr>
        <w:t xml:space="preserve"> Please note that the imported vehicles are also included in the inventory of “currently in </w:t>
      </w:r>
      <w:r>
        <w:rPr>
          <w:sz w:val="20"/>
        </w:rPr>
        <w:t>use/</w:t>
      </w:r>
      <w:r w:rsidRPr="009D6569">
        <w:rPr>
          <w:sz w:val="20"/>
        </w:rPr>
        <w:t>sale” and that these two categories are not summed up.</w:t>
      </w:r>
    </w:p>
    <w:p w:rsidR="003934EC" w:rsidRPr="009D6569" w:rsidRDefault="003934EC" w:rsidP="003934E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EC" w:rsidRDefault="00EF4C8F">
    <w:pPr>
      <w:pStyle w:val="Header"/>
    </w:pPr>
    <w:r>
      <w:rPr>
        <w:noProof/>
        <w:lang w:val="en-US" w:eastAsia="zh-CN"/>
      </w:rPr>
      <w:pict>
        <v:shapetype id="_x0000_t202" coordsize="21600,21600" o:spt="202" path="m,l,21600r21600,l21600,xe">
          <v:stroke joinstyle="miter"/>
          <v:path gradientshapeok="t" o:connecttype="rect"/>
        </v:shapetype>
        <v:shape id="_x0000_s1026" type="#_x0000_t202" style="position:absolute;left:0;text-align:left;margin-left:0;margin-top:23.2pt;width:54pt;height:12.95pt;z-index:251657216;mso-width-percent:1000;mso-position-horizontal-relative:page;mso-position-vertical-relative:page;mso-width-percent:1000;mso-width-relative:left-margin-area;v-text-anchor:middle" o:allowincell="f" fillcolor="#4f81bd" stroked="f">
          <v:textbox style="mso-next-textbox:#_x0000_s1026;mso-fit-shape-to-text:t" inset=",0,,0">
            <w:txbxContent>
              <w:p w:rsidR="003934EC" w:rsidRPr="00DE2B58" w:rsidRDefault="00EF4C8F" w:rsidP="000B329C">
                <w:pPr>
                  <w:spacing w:after="0"/>
                  <w:jc w:val="right"/>
                  <w:rPr>
                    <w:rFonts w:ascii="Lucida Sans" w:hAnsi="Lucida Sans"/>
                    <w:color w:val="FFFFFF"/>
                  </w:rPr>
                </w:pPr>
                <w:r w:rsidRPr="002A395E">
                  <w:rPr>
                    <w:rFonts w:ascii="Lucida Sans" w:hAnsi="Lucida Sans"/>
                  </w:rPr>
                  <w:fldChar w:fldCharType="begin"/>
                </w:r>
                <w:r w:rsidR="003934EC" w:rsidRPr="002A395E">
                  <w:rPr>
                    <w:rFonts w:ascii="Lucida Sans" w:hAnsi="Lucida Sans"/>
                  </w:rPr>
                  <w:instrText xml:space="preserve"> PAGE   \* MERGEFORMAT </w:instrText>
                </w:r>
                <w:r w:rsidRPr="002A395E">
                  <w:rPr>
                    <w:rFonts w:ascii="Lucida Sans" w:hAnsi="Lucida Sans"/>
                  </w:rPr>
                  <w:fldChar w:fldCharType="separate"/>
                </w:r>
                <w:r w:rsidR="003934EC" w:rsidRPr="00E40A1F">
                  <w:rPr>
                    <w:rFonts w:ascii="Lucida Sans" w:hAnsi="Lucida Sans"/>
                    <w:noProof/>
                    <w:color w:val="FFFFFF"/>
                  </w:rPr>
                  <w:t>110</w:t>
                </w:r>
                <w:r w:rsidRPr="002A395E">
                  <w:rPr>
                    <w:rFonts w:ascii="Lucida Sans" w:hAnsi="Lucida Sans"/>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EC" w:rsidRDefault="00EF4C8F">
    <w:pPr>
      <w:pStyle w:val="Header"/>
    </w:pPr>
    <w:r>
      <w:rPr>
        <w:noProof/>
        <w:lang w:val="en-US" w:eastAsia="zh-CN"/>
      </w:rPr>
      <w:pict>
        <v:shapetype id="_x0000_t202" coordsize="21600,21600" o:spt="202" path="m,l,21600r21600,l21600,xe">
          <v:stroke joinstyle="miter"/>
          <v:path gradientshapeok="t" o:connecttype="rect"/>
        </v:shapetype>
        <v:shape id="_x0000_s1025" type="#_x0000_t202" style="position:absolute;left:0;text-align:left;margin-left:539.05pt;margin-top:23.3pt;width:75.2pt;height:12.95pt;z-index:251658240;mso-position-horizontal-relative:page;mso-position-vertical-relative:page;mso-width-relative:right-margin-area;v-text-anchor:middle" o:allowincell="f" fillcolor="#4f81bd" stroked="f">
          <v:textbox style="mso-next-textbox:#_x0000_s1025;mso-fit-shape-to-text:t" inset=",0,,0">
            <w:txbxContent>
              <w:p w:rsidR="003934EC" w:rsidRPr="00DE2B58" w:rsidRDefault="00EF4C8F" w:rsidP="000B329C">
                <w:pPr>
                  <w:spacing w:after="0"/>
                  <w:rPr>
                    <w:rFonts w:ascii="Lucida Sans" w:hAnsi="Lucida Sans"/>
                    <w:color w:val="FFFFFF"/>
                  </w:rPr>
                </w:pPr>
                <w:r w:rsidRPr="00030F08">
                  <w:rPr>
                    <w:rFonts w:ascii="Lucida Sans" w:hAnsi="Lucida Sans"/>
                  </w:rPr>
                  <w:fldChar w:fldCharType="begin"/>
                </w:r>
                <w:r w:rsidR="003934EC" w:rsidRPr="00030F08">
                  <w:rPr>
                    <w:rFonts w:ascii="Lucida Sans" w:hAnsi="Lucida Sans"/>
                  </w:rPr>
                  <w:instrText xml:space="preserve"> PAGE   \* MERGEFORMAT </w:instrText>
                </w:r>
                <w:r w:rsidRPr="00030F08">
                  <w:rPr>
                    <w:rFonts w:ascii="Lucida Sans" w:hAnsi="Lucida Sans"/>
                  </w:rPr>
                  <w:fldChar w:fldCharType="separate"/>
                </w:r>
                <w:r w:rsidR="007D7DA6" w:rsidRPr="007D7DA6">
                  <w:rPr>
                    <w:rFonts w:ascii="Lucida Sans" w:hAnsi="Lucida Sans"/>
                    <w:noProof/>
                    <w:color w:val="FFFFFF"/>
                  </w:rPr>
                  <w:t>2</w:t>
                </w:r>
                <w:r w:rsidRPr="00030F08">
                  <w:rPr>
                    <w:rFonts w:ascii="Lucida Sans" w:hAnsi="Lucida Sans"/>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1CA3"/>
    <w:multiLevelType w:val="multilevel"/>
    <w:tmpl w:val="528643B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lang w:val="en-US"/>
      </w:rPr>
    </w:lvl>
    <w:lvl w:ilvl="2">
      <w:start w:val="1"/>
      <w:numFmt w:val="decimal"/>
      <w:pStyle w:val="Heading3"/>
      <w:lvlText w:val="%1.%2.%3"/>
      <w:lvlJc w:val="left"/>
      <w:pPr>
        <w:ind w:left="720" w:hanging="720"/>
      </w:pPr>
      <w:rPr>
        <w:rFonts w:cs="Times New Roman"/>
        <w:color w:val="548DD4"/>
      </w:rPr>
    </w:lvl>
    <w:lvl w:ilvl="3">
      <w:start w:val="1"/>
      <w:numFmt w:val="decimal"/>
      <w:lvlText w:val="%1.%2.%3.%4"/>
      <w:lvlJc w:val="left"/>
      <w:pPr>
        <w:ind w:left="1414" w:hanging="864"/>
      </w:pPr>
      <w:rPr>
        <w:rFonts w:cs="Times New Roman"/>
        <w:lang w:val="en-US"/>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2A9605C7"/>
    <w:multiLevelType w:val="multilevel"/>
    <w:tmpl w:val="C6BEE5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9C5FDB"/>
    <w:multiLevelType w:val="hybridMultilevel"/>
    <w:tmpl w:val="F2625D2A"/>
    <w:lvl w:ilvl="0" w:tplc="E2F43594">
      <w:start w:val="5"/>
      <w:numFmt w:val="bullet"/>
      <w:lvlText w:val="-"/>
      <w:lvlJc w:val="left"/>
      <w:pPr>
        <w:tabs>
          <w:tab w:val="num" w:pos="720"/>
        </w:tabs>
        <w:ind w:left="720" w:hanging="360"/>
      </w:pPr>
      <w:rPr>
        <w:rFonts w:ascii="Times New Roman" w:eastAsia="SimSu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8A54D92"/>
    <w:multiLevelType w:val="hybridMultilevel"/>
    <w:tmpl w:val="5DD8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rsids>
    <w:rsidRoot w:val="003934EC"/>
    <w:rsid w:val="00052D5F"/>
    <w:rsid w:val="0019310F"/>
    <w:rsid w:val="002A08D5"/>
    <w:rsid w:val="003934EC"/>
    <w:rsid w:val="00754929"/>
    <w:rsid w:val="007D7DA6"/>
    <w:rsid w:val="009119AB"/>
    <w:rsid w:val="009A0A2B"/>
    <w:rsid w:val="00AD15D3"/>
    <w:rsid w:val="00EF0ECD"/>
    <w:rsid w:val="00EF4C8F"/>
    <w:rsid w:val="00F61770"/>
    <w:rsid w:val="00FC4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EC"/>
    <w:pPr>
      <w:snapToGrid w:val="0"/>
      <w:spacing w:after="120" w:line="240" w:lineRule="auto"/>
      <w:jc w:val="both"/>
    </w:pPr>
    <w:rPr>
      <w:rFonts w:ascii="Calibri" w:eastAsia="MS Mincho" w:hAnsi="Calibri" w:cs="Times New Roman"/>
      <w:lang w:val="en-GB"/>
    </w:rPr>
  </w:style>
  <w:style w:type="paragraph" w:styleId="Heading1">
    <w:name w:val="heading 1"/>
    <w:basedOn w:val="Normal"/>
    <w:next w:val="Normal"/>
    <w:link w:val="Heading1Char"/>
    <w:uiPriority w:val="9"/>
    <w:qFormat/>
    <w:rsid w:val="003934EC"/>
    <w:pPr>
      <w:keepNext/>
      <w:numPr>
        <w:numId w:val="1"/>
      </w:numPr>
      <w:spacing w:after="240"/>
      <w:ind w:left="720" w:hanging="720"/>
      <w:jc w:val="left"/>
      <w:outlineLvl w:val="0"/>
    </w:pPr>
    <w:rPr>
      <w:rFonts w:ascii="Lucida Sans" w:eastAsia="MS Gothic" w:hAnsi="Lucida Sans"/>
      <w:b/>
      <w:bCs/>
      <w:color w:val="4F81BD"/>
      <w:kern w:val="32"/>
      <w:sz w:val="28"/>
    </w:rPr>
  </w:style>
  <w:style w:type="paragraph" w:styleId="Heading2">
    <w:name w:val="heading 2"/>
    <w:aliases w:val="Überschrift 2 Char Char Char Char Char Char Char Char Char Char Char,Überschrift 21,Überschrift 2 Char Char Char Char Char Char Char Char Char Char1,Überschrift 2 Char Char Char Char Char Char Char Char Char Char Char Char Char"/>
    <w:basedOn w:val="Heading1"/>
    <w:next w:val="Normal"/>
    <w:link w:val="Heading2Char1"/>
    <w:uiPriority w:val="9"/>
    <w:qFormat/>
    <w:rsid w:val="003934EC"/>
    <w:pPr>
      <w:numPr>
        <w:ilvl w:val="1"/>
      </w:numPr>
      <w:outlineLvl w:val="1"/>
    </w:pPr>
    <w:rPr>
      <w:sz w:val="24"/>
      <w:szCs w:val="24"/>
    </w:rPr>
  </w:style>
  <w:style w:type="paragraph" w:styleId="Heading3">
    <w:name w:val="heading 3"/>
    <w:aliases w:val="Heading 3 Char1 Char,Heading 3 Char Char1 Char Char Char,Heading 3 Char Char1 Char Char Char Char,Heading 3 Char Char1 Char Char Char Char Char Char,Char2 Char,Char2, Char2 Char Char Char, Char2 Char Char Char Char"/>
    <w:basedOn w:val="Heading2"/>
    <w:next w:val="Normal"/>
    <w:link w:val="Heading3Char"/>
    <w:uiPriority w:val="9"/>
    <w:qFormat/>
    <w:rsid w:val="003934EC"/>
    <w:pPr>
      <w:numPr>
        <w:ilvl w:val="2"/>
      </w:numPr>
      <w:tabs>
        <w:tab w:val="num" w:pos="360"/>
      </w:tabs>
      <w:outlineLvl w:val="2"/>
    </w:pPr>
    <w:rPr>
      <w:b w:val="0"/>
    </w:rPr>
  </w:style>
  <w:style w:type="paragraph" w:styleId="Heading5">
    <w:name w:val="heading 5"/>
    <w:basedOn w:val="Normal"/>
    <w:next w:val="Normal"/>
    <w:link w:val="Heading5Char"/>
    <w:uiPriority w:val="9"/>
    <w:qFormat/>
    <w:rsid w:val="003934EC"/>
    <w:pPr>
      <w:keepNext/>
      <w:keepLines/>
      <w:numPr>
        <w:ilvl w:val="4"/>
        <w:numId w:val="1"/>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rsid w:val="003934EC"/>
    <w:pPr>
      <w:keepNext/>
      <w:keepLines/>
      <w:numPr>
        <w:ilvl w:val="5"/>
        <w:numId w:val="1"/>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qFormat/>
    <w:rsid w:val="003934EC"/>
    <w:pPr>
      <w:keepNext/>
      <w:keepLines/>
      <w:numPr>
        <w:ilvl w:val="6"/>
        <w:numId w:val="1"/>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qFormat/>
    <w:rsid w:val="003934EC"/>
    <w:pPr>
      <w:keepNext/>
      <w:keepLines/>
      <w:numPr>
        <w:ilvl w:val="7"/>
        <w:numId w:val="1"/>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rsid w:val="003934EC"/>
    <w:pPr>
      <w:keepNext/>
      <w:keepLines/>
      <w:numPr>
        <w:ilvl w:val="8"/>
        <w:numId w:val="1"/>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4EC"/>
    <w:rPr>
      <w:rFonts w:ascii="Lucida Sans" w:eastAsia="MS Gothic" w:hAnsi="Lucida Sans" w:cs="Times New Roman"/>
      <w:b/>
      <w:bCs/>
      <w:color w:val="4F81BD"/>
      <w:kern w:val="32"/>
      <w:sz w:val="28"/>
      <w:lang w:val="en-GB"/>
    </w:rPr>
  </w:style>
  <w:style w:type="character" w:customStyle="1" w:styleId="Heading2Char">
    <w:name w:val="Heading 2 Char"/>
    <w:basedOn w:val="DefaultParagraphFont"/>
    <w:link w:val="Heading2"/>
    <w:uiPriority w:val="9"/>
    <w:semiHidden/>
    <w:rsid w:val="003934E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Heading 3 Char1 Char Char,Heading 3 Char Char1 Char Char Char Char1,Heading 3 Char Char1 Char Char Char Char Char,Heading 3 Char Char1 Char Char Char Char Char Char Char,Char2 Char Char,Char2 Char1, Char2 Char Char Char Char1"/>
    <w:basedOn w:val="DefaultParagraphFont"/>
    <w:link w:val="Heading3"/>
    <w:uiPriority w:val="9"/>
    <w:rsid w:val="003934EC"/>
    <w:rPr>
      <w:rFonts w:ascii="Lucida Sans" w:eastAsia="MS Gothic" w:hAnsi="Lucida Sans" w:cs="Times New Roman"/>
      <w:bCs/>
      <w:color w:val="4F81BD"/>
      <w:kern w:val="32"/>
      <w:sz w:val="24"/>
      <w:szCs w:val="24"/>
      <w:lang w:val="en-GB"/>
    </w:rPr>
  </w:style>
  <w:style w:type="character" w:customStyle="1" w:styleId="Heading5Char">
    <w:name w:val="Heading 5 Char"/>
    <w:basedOn w:val="DefaultParagraphFont"/>
    <w:link w:val="Heading5"/>
    <w:uiPriority w:val="9"/>
    <w:rsid w:val="003934EC"/>
    <w:rPr>
      <w:rFonts w:ascii="Cambria" w:eastAsia="SimSun" w:hAnsi="Cambria" w:cs="Times New Roman"/>
      <w:color w:val="243F60"/>
      <w:lang w:val="en-GB"/>
    </w:rPr>
  </w:style>
  <w:style w:type="character" w:customStyle="1" w:styleId="Heading6Char">
    <w:name w:val="Heading 6 Char"/>
    <w:basedOn w:val="DefaultParagraphFont"/>
    <w:link w:val="Heading6"/>
    <w:uiPriority w:val="9"/>
    <w:rsid w:val="003934EC"/>
    <w:rPr>
      <w:rFonts w:ascii="Cambria" w:eastAsia="SimSun" w:hAnsi="Cambria" w:cs="Times New Roman"/>
      <w:i/>
      <w:iCs/>
      <w:color w:val="243F60"/>
      <w:lang w:val="en-GB"/>
    </w:rPr>
  </w:style>
  <w:style w:type="character" w:customStyle="1" w:styleId="Heading7Char">
    <w:name w:val="Heading 7 Char"/>
    <w:basedOn w:val="DefaultParagraphFont"/>
    <w:link w:val="Heading7"/>
    <w:uiPriority w:val="9"/>
    <w:rsid w:val="003934EC"/>
    <w:rPr>
      <w:rFonts w:ascii="Cambria" w:eastAsia="SimSun" w:hAnsi="Cambria" w:cs="Times New Roman"/>
      <w:i/>
      <w:iCs/>
      <w:color w:val="404040"/>
      <w:lang w:val="en-GB"/>
    </w:rPr>
  </w:style>
  <w:style w:type="character" w:customStyle="1" w:styleId="Heading8Char">
    <w:name w:val="Heading 8 Char"/>
    <w:basedOn w:val="DefaultParagraphFont"/>
    <w:link w:val="Heading8"/>
    <w:uiPriority w:val="9"/>
    <w:rsid w:val="003934EC"/>
    <w:rPr>
      <w:rFonts w:ascii="Cambria" w:eastAsia="SimSun" w:hAnsi="Cambria" w:cs="Times New Roman"/>
      <w:color w:val="404040"/>
      <w:sz w:val="20"/>
      <w:szCs w:val="20"/>
      <w:lang w:val="en-GB"/>
    </w:rPr>
  </w:style>
  <w:style w:type="character" w:customStyle="1" w:styleId="Heading9Char">
    <w:name w:val="Heading 9 Char"/>
    <w:basedOn w:val="DefaultParagraphFont"/>
    <w:link w:val="Heading9"/>
    <w:uiPriority w:val="9"/>
    <w:rsid w:val="003934EC"/>
    <w:rPr>
      <w:rFonts w:ascii="Cambria" w:eastAsia="SimSun" w:hAnsi="Cambria" w:cs="Times New Roman"/>
      <w:i/>
      <w:iCs/>
      <w:color w:val="404040"/>
      <w:sz w:val="20"/>
      <w:szCs w:val="20"/>
      <w:lang w:val="en-GB"/>
    </w:rPr>
  </w:style>
  <w:style w:type="character" w:customStyle="1" w:styleId="Heading2Char1">
    <w:name w:val="Heading 2 Char1"/>
    <w:aliases w:val="Überschrift 2 Char Char Char Char Char Char Char Char Char Char Char Char,Überschrift 21 Char,Überschrift 2 Char Char Char Char Char Char Char Char Char Char1 Char"/>
    <w:link w:val="Heading2"/>
    <w:uiPriority w:val="9"/>
    <w:locked/>
    <w:rsid w:val="003934EC"/>
    <w:rPr>
      <w:rFonts w:ascii="Lucida Sans" w:eastAsia="MS Gothic" w:hAnsi="Lucida Sans" w:cs="Times New Roman"/>
      <w:b/>
      <w:bCs/>
      <w:color w:val="4F81BD"/>
      <w:kern w:val="32"/>
      <w:sz w:val="24"/>
      <w:szCs w:val="24"/>
      <w:lang w:val="en-GB"/>
    </w:rPr>
  </w:style>
  <w:style w:type="paragraph" w:customStyle="1" w:styleId="ListParagraph1">
    <w:name w:val="List Paragraph1"/>
    <w:aliases w:val="List Paragraph3,List Paragraph 2,List Paragraph31,Listeavsnitt1"/>
    <w:basedOn w:val="Normal"/>
    <w:uiPriority w:val="99"/>
    <w:qFormat/>
    <w:rsid w:val="003934EC"/>
    <w:pPr>
      <w:ind w:left="720"/>
      <w:contextualSpacing/>
    </w:pPr>
  </w:style>
  <w:style w:type="paragraph" w:styleId="Header">
    <w:name w:val="header"/>
    <w:aliases w:val="Header1 Char"/>
    <w:basedOn w:val="Normal"/>
    <w:link w:val="HeaderChar"/>
    <w:uiPriority w:val="99"/>
    <w:unhideWhenUsed/>
    <w:rsid w:val="003934EC"/>
    <w:pPr>
      <w:tabs>
        <w:tab w:val="center" w:pos="4419"/>
        <w:tab w:val="right" w:pos="8838"/>
      </w:tabs>
    </w:pPr>
    <w:rPr>
      <w:rFonts w:eastAsia="Times New Roman"/>
    </w:rPr>
  </w:style>
  <w:style w:type="character" w:customStyle="1" w:styleId="HeaderChar">
    <w:name w:val="Header Char"/>
    <w:aliases w:val="Header1 Char Char"/>
    <w:basedOn w:val="DefaultParagraphFont"/>
    <w:link w:val="Header"/>
    <w:uiPriority w:val="99"/>
    <w:rsid w:val="003934EC"/>
    <w:rPr>
      <w:rFonts w:ascii="Calibri" w:eastAsia="Times New Roman" w:hAnsi="Calibri" w:cs="Times New Roman"/>
      <w:lang w:val="en-GB"/>
    </w:rPr>
  </w:style>
  <w:style w:type="character" w:styleId="PageNumber">
    <w:name w:val="page number"/>
    <w:basedOn w:val="DefaultParagraphFont"/>
    <w:uiPriority w:val="99"/>
    <w:rsid w:val="003934EC"/>
  </w:style>
  <w:style w:type="paragraph" w:styleId="FootnoteText">
    <w:name w:val="footnote text"/>
    <w:aliases w:val="Geneva 9,Font: Geneva 9,Boston 10,f,f Char Char,Geneva 9 Char,Font: Geneva 9 Char,Boston 10 Char,f Char1,f Char Char Char Char Char Char,f Char,f Char Char Char Char Char,f Char Char Char Char,f Char1 Char"/>
    <w:basedOn w:val="Normal"/>
    <w:link w:val="FootnoteTextChar1"/>
    <w:uiPriority w:val="99"/>
    <w:unhideWhenUsed/>
    <w:rsid w:val="003934EC"/>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934EC"/>
    <w:rPr>
      <w:rFonts w:ascii="Calibri" w:eastAsia="MS Mincho" w:hAnsi="Calibri" w:cs="Times New Roman"/>
      <w:sz w:val="20"/>
      <w:szCs w:val="20"/>
      <w:lang w:val="en-GB"/>
    </w:rPr>
  </w:style>
  <w:style w:type="character" w:customStyle="1" w:styleId="FootnoteTextChar1">
    <w:name w:val="Footnote Text Char1"/>
    <w:aliases w:val="Geneva 9 Char1,Font: Geneva 9 Char1,Boston 10 Char1,f Char2,f Char Char Char,Geneva 9 Char Char,Font: Geneva 9 Char Char,Boston 10 Char Char,f Char1 Char1,f Char Char Char Char Char Char Char,f Char Char1,f Char Char Char Char Char1"/>
    <w:link w:val="FootnoteText"/>
    <w:uiPriority w:val="99"/>
    <w:locked/>
    <w:rsid w:val="003934EC"/>
    <w:rPr>
      <w:rFonts w:ascii="Times New Roman" w:eastAsia="MS Mincho" w:hAnsi="Times New Roman" w:cs="Times New Roman"/>
      <w:sz w:val="20"/>
      <w:szCs w:val="20"/>
      <w:lang w:val="en-GB"/>
    </w:rPr>
  </w:style>
  <w:style w:type="character" w:styleId="FootnoteReference">
    <w:name w:val="footnote reference"/>
    <w:aliases w:val="16 Point,Superscript 6 Point"/>
    <w:uiPriority w:val="99"/>
    <w:semiHidden/>
    <w:unhideWhenUsed/>
    <w:rsid w:val="003934EC"/>
    <w:rPr>
      <w:rFonts w:cs="Times New Roman"/>
      <w:vertAlign w:val="superscript"/>
    </w:rPr>
  </w:style>
  <w:style w:type="paragraph" w:styleId="ListParagraph">
    <w:name w:val="List Paragraph"/>
    <w:basedOn w:val="Normal"/>
    <w:uiPriority w:val="34"/>
    <w:qFormat/>
    <w:rsid w:val="00393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jalvarez</dc:creator>
  <cp:lastModifiedBy>jalvarez</cp:lastModifiedBy>
  <cp:revision>4</cp:revision>
  <dcterms:created xsi:type="dcterms:W3CDTF">2012-10-19T12:51:00Z</dcterms:created>
  <dcterms:modified xsi:type="dcterms:W3CDTF">2012-10-19T14:30:00Z</dcterms:modified>
</cp:coreProperties>
</file>