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51A24" w14:textId="77777777" w:rsidR="009D13B2" w:rsidRPr="007831A2" w:rsidRDefault="009D13B2" w:rsidP="007831A2">
      <w:pPr>
        <w:rPr>
          <w:sz w:val="22"/>
          <w:szCs w:val="22"/>
        </w:rPr>
      </w:pPr>
    </w:p>
    <w:p w14:paraId="14DE3191" w14:textId="234103BB" w:rsidR="004339E6" w:rsidRPr="00900E90" w:rsidRDefault="00966BCD" w:rsidP="00966BCD">
      <w:pPr>
        <w:jc w:val="center"/>
        <w:rPr>
          <w:b/>
          <w:sz w:val="32"/>
          <w:szCs w:val="32"/>
        </w:rPr>
      </w:pPr>
      <w:r w:rsidRPr="00900E90">
        <w:rPr>
          <w:b/>
          <w:sz w:val="32"/>
          <w:szCs w:val="32"/>
        </w:rPr>
        <w:t xml:space="preserve">Update </w:t>
      </w:r>
      <w:r w:rsidR="00EA5A1A" w:rsidRPr="00900E90">
        <w:rPr>
          <w:b/>
          <w:sz w:val="32"/>
          <w:szCs w:val="32"/>
        </w:rPr>
        <w:t>of guidance documents to assist parties in developing, reviewing and updating their national implementation plan</w:t>
      </w:r>
    </w:p>
    <w:p w14:paraId="2B204724" w14:textId="77777777" w:rsidR="00EA5A1A" w:rsidRPr="007831A2" w:rsidRDefault="00EA5A1A" w:rsidP="007831A2">
      <w:pPr>
        <w:rPr>
          <w:sz w:val="22"/>
          <w:szCs w:val="22"/>
        </w:rPr>
      </w:pPr>
    </w:p>
    <w:p w14:paraId="20A8D87B" w14:textId="77777777" w:rsidR="009D13B2" w:rsidRPr="007831A2" w:rsidRDefault="009D13B2" w:rsidP="007831A2">
      <w:pPr>
        <w:rPr>
          <w:sz w:val="22"/>
          <w:szCs w:val="22"/>
        </w:rPr>
      </w:pPr>
    </w:p>
    <w:p w14:paraId="0885B4D6" w14:textId="77777777" w:rsidR="009D13B2" w:rsidRPr="007831A2" w:rsidRDefault="009D13B2" w:rsidP="007831A2">
      <w:pPr>
        <w:rPr>
          <w:sz w:val="22"/>
          <w:szCs w:val="22"/>
        </w:rPr>
      </w:pPr>
    </w:p>
    <w:p w14:paraId="0C773A88" w14:textId="77777777" w:rsidR="009D13B2" w:rsidRPr="007831A2" w:rsidRDefault="009D13B2" w:rsidP="007831A2">
      <w:pPr>
        <w:rPr>
          <w:sz w:val="22"/>
          <w:szCs w:val="22"/>
        </w:rPr>
      </w:pPr>
    </w:p>
    <w:p w14:paraId="550D1D24" w14:textId="77777777" w:rsidR="009D13B2" w:rsidRPr="007831A2" w:rsidRDefault="009D13B2" w:rsidP="007831A2">
      <w:pPr>
        <w:rPr>
          <w:sz w:val="22"/>
          <w:szCs w:val="22"/>
        </w:rPr>
      </w:pPr>
    </w:p>
    <w:p w14:paraId="3FB92889" w14:textId="77777777" w:rsidR="009D13B2" w:rsidRPr="007831A2" w:rsidRDefault="009D13B2" w:rsidP="007831A2">
      <w:pPr>
        <w:rPr>
          <w:sz w:val="22"/>
          <w:szCs w:val="22"/>
        </w:rPr>
      </w:pPr>
    </w:p>
    <w:p w14:paraId="3D54D3BB" w14:textId="77777777" w:rsidR="009D13B2" w:rsidRPr="007831A2" w:rsidRDefault="009D13B2" w:rsidP="007831A2">
      <w:pPr>
        <w:rPr>
          <w:sz w:val="22"/>
          <w:szCs w:val="22"/>
        </w:rPr>
      </w:pPr>
    </w:p>
    <w:p w14:paraId="7A4B7D1B" w14:textId="77777777" w:rsidR="009D13B2" w:rsidRPr="007831A2" w:rsidRDefault="009D13B2" w:rsidP="007831A2">
      <w:pPr>
        <w:rPr>
          <w:sz w:val="22"/>
          <w:szCs w:val="22"/>
        </w:rPr>
      </w:pPr>
    </w:p>
    <w:p w14:paraId="10560427" w14:textId="4A591C1E" w:rsidR="00EA5A1A" w:rsidRPr="00900E90" w:rsidRDefault="00C20E41" w:rsidP="00966BCD">
      <w:pPr>
        <w:pStyle w:val="Prrafodelista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guidance (Part B </w:t>
      </w:r>
      <w:r w:rsidR="00EA5A1A" w:rsidRPr="00900E90">
        <w:rPr>
          <w:b/>
          <w:sz w:val="28"/>
          <w:szCs w:val="28"/>
        </w:rPr>
        <w:t>of</w:t>
      </w:r>
      <w:r w:rsidR="00966BCD" w:rsidRPr="00900E90">
        <w:rPr>
          <w:b/>
          <w:sz w:val="28"/>
          <w:szCs w:val="28"/>
        </w:rPr>
        <w:t xml:space="preserve"> the annex to decision SC-7/10)</w:t>
      </w:r>
    </w:p>
    <w:p w14:paraId="67A0501E" w14:textId="77777777" w:rsidR="00900E90" w:rsidRDefault="00900E90" w:rsidP="00966BCD">
      <w:pPr>
        <w:pStyle w:val="Prrafodelista"/>
        <w:spacing w:line="360" w:lineRule="auto"/>
        <w:jc w:val="center"/>
        <w:rPr>
          <w:b/>
          <w:sz w:val="22"/>
          <w:szCs w:val="22"/>
        </w:rPr>
      </w:pPr>
    </w:p>
    <w:p w14:paraId="0C2E8CA2" w14:textId="77777777" w:rsidR="00900E90" w:rsidRDefault="00900E90" w:rsidP="00966BCD">
      <w:pPr>
        <w:pStyle w:val="Prrafodelista"/>
        <w:spacing w:line="360" w:lineRule="auto"/>
        <w:jc w:val="center"/>
        <w:rPr>
          <w:b/>
          <w:sz w:val="22"/>
          <w:szCs w:val="22"/>
        </w:rPr>
      </w:pPr>
    </w:p>
    <w:p w14:paraId="70D5CE62" w14:textId="77777777" w:rsidR="00900E90" w:rsidRDefault="00900E90" w:rsidP="00966BCD">
      <w:pPr>
        <w:pStyle w:val="Prrafodelista"/>
        <w:spacing w:line="360" w:lineRule="auto"/>
        <w:jc w:val="center"/>
        <w:rPr>
          <w:b/>
          <w:sz w:val="22"/>
          <w:szCs w:val="22"/>
        </w:rPr>
      </w:pPr>
    </w:p>
    <w:p w14:paraId="555B73E5" w14:textId="77777777" w:rsidR="00900E90" w:rsidRDefault="00900E90" w:rsidP="00966BCD">
      <w:pPr>
        <w:pStyle w:val="Prrafodelista"/>
        <w:spacing w:line="360" w:lineRule="auto"/>
        <w:jc w:val="center"/>
        <w:rPr>
          <w:b/>
          <w:sz w:val="22"/>
          <w:szCs w:val="22"/>
        </w:rPr>
      </w:pPr>
    </w:p>
    <w:p w14:paraId="4EE9F800" w14:textId="7001F1F4" w:rsidR="00EA5A1A" w:rsidRPr="00B7402F" w:rsidRDefault="00900E90" w:rsidP="00B7402F">
      <w:pPr>
        <w:pStyle w:val="Prrafodelista"/>
        <w:spacing w:line="360" w:lineRule="auto"/>
        <w:jc w:val="center"/>
        <w:rPr>
          <w:b/>
          <w:sz w:val="26"/>
          <w:szCs w:val="26"/>
        </w:rPr>
      </w:pPr>
      <w:r w:rsidRPr="007841E5">
        <w:rPr>
          <w:b/>
          <w:sz w:val="26"/>
          <w:szCs w:val="26"/>
          <w:u w:val="single"/>
        </w:rPr>
        <w:t>Comments and responses to</w:t>
      </w:r>
      <w:r w:rsidR="00B7402F">
        <w:rPr>
          <w:b/>
          <w:sz w:val="26"/>
          <w:szCs w:val="26"/>
        </w:rPr>
        <w:t>:</w:t>
      </w:r>
    </w:p>
    <w:p w14:paraId="34262B9B" w14:textId="77777777" w:rsidR="007841E5" w:rsidRPr="00966BCD" w:rsidRDefault="007841E5" w:rsidP="007841E5">
      <w:pPr>
        <w:pStyle w:val="Prrafodelista"/>
        <w:spacing w:line="360" w:lineRule="auto"/>
        <w:rPr>
          <w:sz w:val="22"/>
          <w:szCs w:val="22"/>
        </w:rPr>
      </w:pPr>
    </w:p>
    <w:p w14:paraId="4E713962" w14:textId="77777777" w:rsidR="007841E5" w:rsidRPr="007841E5" w:rsidRDefault="007841E5" w:rsidP="007841E5">
      <w:pPr>
        <w:pStyle w:val="Prrafodelista"/>
        <w:spacing w:line="360" w:lineRule="auto"/>
        <w:rPr>
          <w:sz w:val="22"/>
          <w:szCs w:val="22"/>
        </w:rPr>
      </w:pPr>
    </w:p>
    <w:p w14:paraId="0689ABEF" w14:textId="4687FEFD" w:rsidR="000A06B2" w:rsidRPr="00C20E41" w:rsidRDefault="00F34AF5" w:rsidP="00F34AF5">
      <w:pPr>
        <w:pStyle w:val="Prrafodelista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 w:rsidR="00C20E41" w:rsidRPr="00C20E41">
        <w:rPr>
          <w:b/>
          <w:sz w:val="24"/>
          <w:szCs w:val="24"/>
        </w:rPr>
        <w:t xml:space="preserve">Guidance </w:t>
      </w:r>
      <w:r>
        <w:rPr>
          <w:b/>
          <w:sz w:val="24"/>
          <w:szCs w:val="24"/>
        </w:rPr>
        <w:t>for the control of the import and export of POPs”</w:t>
      </w:r>
    </w:p>
    <w:p w14:paraId="477DF138" w14:textId="77777777" w:rsidR="009D13B2" w:rsidRPr="007831A2" w:rsidRDefault="009D13B2" w:rsidP="007831A2">
      <w:pPr>
        <w:rPr>
          <w:sz w:val="22"/>
          <w:szCs w:val="22"/>
        </w:rPr>
      </w:pPr>
    </w:p>
    <w:p w14:paraId="3D861AFD" w14:textId="77777777" w:rsidR="009D13B2" w:rsidRPr="007831A2" w:rsidRDefault="009D13B2" w:rsidP="007831A2">
      <w:pPr>
        <w:rPr>
          <w:sz w:val="22"/>
          <w:szCs w:val="22"/>
        </w:rPr>
      </w:pPr>
    </w:p>
    <w:p w14:paraId="5CC627A9" w14:textId="77777777" w:rsidR="009D13B2" w:rsidRPr="007831A2" w:rsidRDefault="009D13B2" w:rsidP="007831A2">
      <w:pPr>
        <w:rPr>
          <w:sz w:val="22"/>
          <w:szCs w:val="22"/>
        </w:rPr>
      </w:pPr>
    </w:p>
    <w:p w14:paraId="38EC70BC" w14:textId="77777777" w:rsidR="009D13B2" w:rsidRPr="007831A2" w:rsidRDefault="009D13B2" w:rsidP="007831A2">
      <w:pPr>
        <w:rPr>
          <w:sz w:val="22"/>
          <w:szCs w:val="22"/>
        </w:rPr>
      </w:pPr>
    </w:p>
    <w:p w14:paraId="3683F0E9" w14:textId="77777777" w:rsidR="00D903B9" w:rsidRPr="007831A2" w:rsidRDefault="00D903B9" w:rsidP="007831A2">
      <w:pPr>
        <w:rPr>
          <w:sz w:val="22"/>
          <w:szCs w:val="22"/>
        </w:rPr>
      </w:pPr>
    </w:p>
    <w:p w14:paraId="3EB1A677" w14:textId="77777777" w:rsidR="00B36334" w:rsidRPr="007831A2" w:rsidRDefault="00B36334" w:rsidP="007831A2">
      <w:pPr>
        <w:rPr>
          <w:sz w:val="22"/>
          <w:szCs w:val="22"/>
        </w:rPr>
      </w:pPr>
    </w:p>
    <w:p w14:paraId="11FBECBE" w14:textId="77777777" w:rsidR="00D237D0" w:rsidRPr="007831A2" w:rsidRDefault="00D237D0" w:rsidP="007831A2">
      <w:pPr>
        <w:rPr>
          <w:sz w:val="22"/>
          <w:szCs w:val="22"/>
        </w:rPr>
        <w:sectPr w:rsidR="00D237D0" w:rsidRPr="007831A2" w:rsidSect="009D13B2">
          <w:pgSz w:w="11901" w:h="16817"/>
          <w:pgMar w:top="1418" w:right="1701" w:bottom="1418" w:left="1701" w:header="709" w:footer="709" w:gutter="0"/>
          <w:cols w:space="708"/>
          <w:docGrid w:linePitch="360"/>
        </w:sectPr>
      </w:pPr>
    </w:p>
    <w:p w14:paraId="404F1528" w14:textId="19C3F848" w:rsidR="00B36334" w:rsidRPr="008C4209" w:rsidRDefault="00F34AF5" w:rsidP="007831A2">
      <w:pPr>
        <w:jc w:val="center"/>
        <w:rPr>
          <w:b/>
        </w:rPr>
      </w:pPr>
      <w:r>
        <w:rPr>
          <w:b/>
        </w:rPr>
        <w:lastRenderedPageBreak/>
        <w:t>List of comments to the</w:t>
      </w:r>
      <w:r w:rsidR="00514D85" w:rsidRPr="008C4209">
        <w:rPr>
          <w:b/>
        </w:rPr>
        <w:t xml:space="preserve"> </w:t>
      </w:r>
      <w:r w:rsidR="001435E5">
        <w:rPr>
          <w:b/>
        </w:rPr>
        <w:t>Guidance</w:t>
      </w:r>
      <w:r>
        <w:rPr>
          <w:b/>
        </w:rPr>
        <w:t xml:space="preserve"> for the control of the import and export of POPs </w:t>
      </w:r>
      <w:r w:rsidR="003F3F5F" w:rsidRPr="00580750">
        <w:rPr>
          <w:rStyle w:val="Refdenotaalpie"/>
          <w:b/>
          <w:bCs/>
          <w:sz w:val="28"/>
          <w:szCs w:val="28"/>
          <w:vertAlign w:val="superscript"/>
        </w:rPr>
        <w:footnoteReference w:id="1"/>
      </w: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459"/>
        <w:gridCol w:w="9072"/>
        <w:gridCol w:w="2749"/>
      </w:tblGrid>
      <w:tr w:rsidR="00A17FBC" w:rsidRPr="007831A2" w14:paraId="2296A531" w14:textId="77777777" w:rsidTr="00A17FBC">
        <w:trPr>
          <w:jc w:val="center"/>
        </w:trPr>
        <w:tc>
          <w:tcPr>
            <w:tcW w:w="323" w:type="pct"/>
          </w:tcPr>
          <w:p w14:paraId="5085D272" w14:textId="08B7CF0F" w:rsidR="003131C2" w:rsidRPr="00A17FBC" w:rsidRDefault="003131C2" w:rsidP="007831A2">
            <w:pPr>
              <w:rPr>
                <w:b/>
                <w:sz w:val="22"/>
                <w:szCs w:val="22"/>
              </w:rPr>
            </w:pPr>
            <w:r w:rsidRPr="00A17FBC">
              <w:rPr>
                <w:b/>
                <w:sz w:val="22"/>
                <w:szCs w:val="22"/>
              </w:rPr>
              <w:t>Origin</w:t>
            </w:r>
          </w:p>
        </w:tc>
        <w:tc>
          <w:tcPr>
            <w:tcW w:w="514" w:type="pct"/>
          </w:tcPr>
          <w:p w14:paraId="38E7326F" w14:textId="0E8F251B" w:rsidR="003131C2" w:rsidRPr="00A17FBC" w:rsidRDefault="003131C2" w:rsidP="007831A2">
            <w:pPr>
              <w:rPr>
                <w:b/>
                <w:sz w:val="22"/>
                <w:szCs w:val="22"/>
              </w:rPr>
            </w:pPr>
            <w:r w:rsidRPr="00A17FBC">
              <w:rPr>
                <w:b/>
                <w:sz w:val="22"/>
                <w:szCs w:val="22"/>
              </w:rPr>
              <w:t>Issue area</w:t>
            </w:r>
          </w:p>
        </w:tc>
        <w:tc>
          <w:tcPr>
            <w:tcW w:w="3195" w:type="pct"/>
          </w:tcPr>
          <w:p w14:paraId="1886B00E" w14:textId="248F2832" w:rsidR="003131C2" w:rsidRPr="00A17FBC" w:rsidRDefault="003131C2" w:rsidP="007831A2">
            <w:pPr>
              <w:rPr>
                <w:b/>
                <w:sz w:val="22"/>
                <w:szCs w:val="22"/>
              </w:rPr>
            </w:pPr>
            <w:r w:rsidRPr="00A17FBC">
              <w:rPr>
                <w:b/>
                <w:sz w:val="22"/>
                <w:szCs w:val="22"/>
              </w:rPr>
              <w:t>Comment</w:t>
            </w:r>
          </w:p>
        </w:tc>
        <w:tc>
          <w:tcPr>
            <w:tcW w:w="968" w:type="pct"/>
          </w:tcPr>
          <w:p w14:paraId="021CD9DD" w14:textId="2305C029" w:rsidR="003131C2" w:rsidRPr="00A17FBC" w:rsidRDefault="003131C2" w:rsidP="007831A2">
            <w:pPr>
              <w:rPr>
                <w:b/>
                <w:sz w:val="22"/>
                <w:szCs w:val="22"/>
              </w:rPr>
            </w:pPr>
            <w:r w:rsidRPr="00A17FBC">
              <w:rPr>
                <w:b/>
                <w:sz w:val="22"/>
                <w:szCs w:val="22"/>
              </w:rPr>
              <w:t>Response</w:t>
            </w:r>
          </w:p>
        </w:tc>
      </w:tr>
      <w:tr w:rsidR="00A17FBC" w:rsidRPr="007831A2" w14:paraId="45AAADAC" w14:textId="77777777" w:rsidTr="00A17FBC">
        <w:trPr>
          <w:jc w:val="center"/>
        </w:trPr>
        <w:tc>
          <w:tcPr>
            <w:tcW w:w="323" w:type="pct"/>
          </w:tcPr>
          <w:p w14:paraId="6D2719FD" w14:textId="3FD58430" w:rsidR="00F34AF5" w:rsidRPr="00314CAF" w:rsidRDefault="00F34AF5" w:rsidP="007831A2">
            <w:pPr>
              <w:rPr>
                <w:sz w:val="22"/>
                <w:szCs w:val="22"/>
              </w:rPr>
            </w:pPr>
            <w:r w:rsidRPr="00314CAF">
              <w:rPr>
                <w:sz w:val="22"/>
                <w:szCs w:val="22"/>
              </w:rPr>
              <w:t>Canada</w:t>
            </w:r>
          </w:p>
        </w:tc>
        <w:tc>
          <w:tcPr>
            <w:tcW w:w="514" w:type="pct"/>
          </w:tcPr>
          <w:p w14:paraId="101CE6EA" w14:textId="34DDABE0" w:rsidR="00F34AF5" w:rsidRPr="00314CAF" w:rsidRDefault="009C23AF" w:rsidP="007831A2">
            <w:pPr>
              <w:rPr>
                <w:sz w:val="22"/>
                <w:szCs w:val="22"/>
              </w:rPr>
            </w:pPr>
            <w:r w:rsidRPr="00314CAF">
              <w:rPr>
                <w:sz w:val="22"/>
                <w:szCs w:val="22"/>
              </w:rPr>
              <w:t>Ensure accuracy of information</w:t>
            </w:r>
          </w:p>
        </w:tc>
        <w:tc>
          <w:tcPr>
            <w:tcW w:w="3195" w:type="pct"/>
          </w:tcPr>
          <w:p w14:paraId="29546848" w14:textId="77777777" w:rsidR="009C23AF" w:rsidRPr="00314CAF" w:rsidRDefault="009C23AF" w:rsidP="009C23A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In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multiple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places in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this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document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stated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that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both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importer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exporter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must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have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claimed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“use”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exemption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.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However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Convention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requires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that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importing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Party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must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have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claimed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use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exemption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that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exporter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must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be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sending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product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to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importing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country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for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that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claimed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use.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Therefore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not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necessary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that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exporter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also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claim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that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use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exemption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order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to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export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compliance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with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treaty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text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. </w:t>
            </w:r>
          </w:p>
          <w:p w14:paraId="3FD356FB" w14:textId="77777777" w:rsidR="00F34AF5" w:rsidRPr="00314CAF" w:rsidRDefault="00F34AF5" w:rsidP="00F34AF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68" w:type="pct"/>
          </w:tcPr>
          <w:p w14:paraId="29BCA8F6" w14:textId="135B7F15" w:rsidR="00F34AF5" w:rsidRPr="00314CAF" w:rsidRDefault="00314CAF" w:rsidP="00314CAF">
            <w:pPr>
              <w:rPr>
                <w:sz w:val="22"/>
                <w:szCs w:val="22"/>
              </w:rPr>
            </w:pPr>
            <w:r w:rsidRPr="00314CAF">
              <w:rPr>
                <w:sz w:val="22"/>
                <w:szCs w:val="22"/>
              </w:rPr>
              <w:t>Agreed and revised where relevant</w:t>
            </w:r>
          </w:p>
        </w:tc>
      </w:tr>
      <w:tr w:rsidR="00A17FBC" w:rsidRPr="007831A2" w14:paraId="33A9DB17" w14:textId="77777777" w:rsidTr="00A17FBC">
        <w:trPr>
          <w:jc w:val="center"/>
        </w:trPr>
        <w:tc>
          <w:tcPr>
            <w:tcW w:w="323" w:type="pct"/>
          </w:tcPr>
          <w:p w14:paraId="78994EA4" w14:textId="7D3D0412" w:rsidR="00F34AF5" w:rsidRPr="00314CAF" w:rsidRDefault="00F34AF5" w:rsidP="007831A2">
            <w:pPr>
              <w:rPr>
                <w:sz w:val="22"/>
                <w:szCs w:val="22"/>
              </w:rPr>
            </w:pPr>
            <w:r w:rsidRPr="00314CAF">
              <w:rPr>
                <w:sz w:val="22"/>
                <w:szCs w:val="22"/>
              </w:rPr>
              <w:t>Canada</w:t>
            </w:r>
          </w:p>
        </w:tc>
        <w:tc>
          <w:tcPr>
            <w:tcW w:w="514" w:type="pct"/>
          </w:tcPr>
          <w:p w14:paraId="2C6AE942" w14:textId="38270F49" w:rsidR="00F34AF5" w:rsidRPr="00314CAF" w:rsidRDefault="00314CAF" w:rsidP="007831A2">
            <w:pPr>
              <w:rPr>
                <w:sz w:val="22"/>
                <w:szCs w:val="22"/>
              </w:rPr>
            </w:pPr>
            <w:r w:rsidRPr="00314CAF">
              <w:rPr>
                <w:sz w:val="22"/>
                <w:szCs w:val="22"/>
              </w:rPr>
              <w:t xml:space="preserve">Use terminology consistently </w:t>
            </w:r>
          </w:p>
        </w:tc>
        <w:tc>
          <w:tcPr>
            <w:tcW w:w="3195" w:type="pct"/>
          </w:tcPr>
          <w:p w14:paraId="1FC74389" w14:textId="04E1AB0A" w:rsidR="00314CAF" w:rsidRPr="00314CAF" w:rsidRDefault="00314CAF" w:rsidP="00314CA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There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appears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to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be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some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confusion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on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meaning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certain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terms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e.g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.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specific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exemption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acceptable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purpose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).  More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accurately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incorporating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text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Convention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into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its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contents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could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improve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document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. 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For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example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phrase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“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types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articles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” in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one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section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(as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opposed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to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“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articles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”)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implies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that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export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of PFOS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AFFFs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would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be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acceptable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today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if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this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substance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was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to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be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produced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.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This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contrary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to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interpretation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contained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our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new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regulations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which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require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that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article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itself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must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have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been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produced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before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chemical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was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listed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.</w:t>
            </w:r>
          </w:p>
          <w:p w14:paraId="1C83503C" w14:textId="77777777" w:rsidR="00F34AF5" w:rsidRPr="00314CAF" w:rsidRDefault="00F34AF5" w:rsidP="00F34AF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68" w:type="pct"/>
          </w:tcPr>
          <w:p w14:paraId="74A9DDAB" w14:textId="6E2F11C8" w:rsidR="00F34AF5" w:rsidRPr="00314CAF" w:rsidRDefault="00314CAF" w:rsidP="004022F7">
            <w:pPr>
              <w:rPr>
                <w:sz w:val="22"/>
                <w:szCs w:val="22"/>
              </w:rPr>
            </w:pPr>
            <w:r w:rsidRPr="00314CAF">
              <w:rPr>
                <w:sz w:val="22"/>
                <w:szCs w:val="22"/>
              </w:rPr>
              <w:t>Agreed. To clarify to clarify this issue, relevant sections of articles of the Convention text have been inserted or referred to using footnotes.</w:t>
            </w:r>
          </w:p>
        </w:tc>
      </w:tr>
      <w:tr w:rsidR="00A17FBC" w:rsidRPr="007831A2" w14:paraId="2A6EDD91" w14:textId="77777777" w:rsidTr="00A17FBC">
        <w:trPr>
          <w:jc w:val="center"/>
        </w:trPr>
        <w:tc>
          <w:tcPr>
            <w:tcW w:w="323" w:type="pct"/>
          </w:tcPr>
          <w:p w14:paraId="7275C74E" w14:textId="7E6A9159" w:rsidR="00F34AF5" w:rsidRPr="00314CAF" w:rsidRDefault="00F34AF5" w:rsidP="007831A2">
            <w:pPr>
              <w:rPr>
                <w:sz w:val="22"/>
                <w:szCs w:val="22"/>
              </w:rPr>
            </w:pPr>
            <w:r w:rsidRPr="00314CAF">
              <w:rPr>
                <w:sz w:val="22"/>
                <w:szCs w:val="22"/>
              </w:rPr>
              <w:t xml:space="preserve">Canada </w:t>
            </w:r>
          </w:p>
        </w:tc>
        <w:tc>
          <w:tcPr>
            <w:tcW w:w="514" w:type="pct"/>
          </w:tcPr>
          <w:p w14:paraId="2B6BFAF1" w14:textId="1ECA051E" w:rsidR="00F34AF5" w:rsidRPr="00314CAF" w:rsidRDefault="00314CAF" w:rsidP="007831A2">
            <w:pPr>
              <w:rPr>
                <w:sz w:val="22"/>
                <w:szCs w:val="22"/>
              </w:rPr>
            </w:pPr>
            <w:r w:rsidRPr="00314CAF">
              <w:rPr>
                <w:sz w:val="22"/>
                <w:szCs w:val="22"/>
              </w:rPr>
              <w:t>Ensure information is always properly referenced</w:t>
            </w:r>
          </w:p>
        </w:tc>
        <w:tc>
          <w:tcPr>
            <w:tcW w:w="3195" w:type="pct"/>
          </w:tcPr>
          <w:p w14:paraId="6886AFE9" w14:textId="47331342" w:rsidR="00F34AF5" w:rsidRPr="00314CAF" w:rsidRDefault="00314CAF" w:rsidP="00F34AF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There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are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several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sections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that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lack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references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and/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or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do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not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use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sufficent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scientific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studies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to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support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validity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findings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968" w:type="pct"/>
          </w:tcPr>
          <w:p w14:paraId="0C57A05F" w14:textId="77777777" w:rsidR="00F34AF5" w:rsidRDefault="0037186F" w:rsidP="00402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Agreed. </w:t>
            </w:r>
            <w:proofErr w:type="gramStart"/>
            <w:r>
              <w:rPr>
                <w:sz w:val="22"/>
                <w:szCs w:val="22"/>
              </w:rPr>
              <w:t>Reference have</w:t>
            </w:r>
            <w:proofErr w:type="gramEnd"/>
            <w:r>
              <w:rPr>
                <w:sz w:val="22"/>
                <w:szCs w:val="22"/>
              </w:rPr>
              <w:t xml:space="preserve"> been completed and links made available to sources listed in the document.</w:t>
            </w:r>
          </w:p>
          <w:p w14:paraId="2DDF5DE0" w14:textId="77777777" w:rsidR="0037186F" w:rsidRDefault="0037186F" w:rsidP="004022F7">
            <w:pPr>
              <w:rPr>
                <w:b/>
                <w:sz w:val="22"/>
                <w:szCs w:val="22"/>
                <w:u w:val="single"/>
              </w:rPr>
            </w:pPr>
          </w:p>
          <w:p w14:paraId="12177EF9" w14:textId="5994F0AE" w:rsidR="0037186F" w:rsidRPr="00314CAF" w:rsidRDefault="0037186F" w:rsidP="0037186F">
            <w:pPr>
              <w:rPr>
                <w:sz w:val="22"/>
                <w:szCs w:val="22"/>
              </w:rPr>
            </w:pPr>
            <w:r w:rsidRPr="0037186F">
              <w:rPr>
                <w:b/>
                <w:sz w:val="22"/>
                <w:szCs w:val="22"/>
                <w:u w:val="single"/>
              </w:rPr>
              <w:t>Note:</w:t>
            </w:r>
            <w:r>
              <w:rPr>
                <w:sz w:val="22"/>
                <w:szCs w:val="22"/>
              </w:rPr>
              <w:t xml:space="preserve"> This guidance provides an overview and recommended tools based on national legislation and on control measures for import and exports of POPs (</w:t>
            </w:r>
            <w:proofErr w:type="spellStart"/>
            <w:r>
              <w:rPr>
                <w:sz w:val="22"/>
                <w:szCs w:val="22"/>
              </w:rPr>
              <w:t>e.g</w:t>
            </w:r>
            <w:proofErr w:type="spellEnd"/>
            <w:r>
              <w:rPr>
                <w:sz w:val="22"/>
                <w:szCs w:val="22"/>
              </w:rPr>
              <w:t xml:space="preserve"> by implementing MEAs obligations). It does not constitute a scientific publication. However and where technical terminology is used, reference to respective technical/scientific documents is made available.</w:t>
            </w:r>
          </w:p>
        </w:tc>
      </w:tr>
      <w:tr w:rsidR="00A17FBC" w:rsidRPr="007831A2" w14:paraId="66D6B369" w14:textId="77777777" w:rsidTr="00A17FBC">
        <w:trPr>
          <w:jc w:val="center"/>
        </w:trPr>
        <w:tc>
          <w:tcPr>
            <w:tcW w:w="323" w:type="pct"/>
          </w:tcPr>
          <w:p w14:paraId="3E5566E7" w14:textId="18B007C0" w:rsidR="00F34AF5" w:rsidRPr="00314CAF" w:rsidRDefault="00F34AF5" w:rsidP="007831A2">
            <w:pPr>
              <w:rPr>
                <w:sz w:val="22"/>
                <w:szCs w:val="22"/>
              </w:rPr>
            </w:pPr>
            <w:r w:rsidRPr="00314CAF">
              <w:rPr>
                <w:sz w:val="22"/>
                <w:szCs w:val="22"/>
              </w:rPr>
              <w:t>Canada</w:t>
            </w:r>
          </w:p>
        </w:tc>
        <w:tc>
          <w:tcPr>
            <w:tcW w:w="514" w:type="pct"/>
          </w:tcPr>
          <w:p w14:paraId="6D597246" w14:textId="0D76B022" w:rsidR="00F34AF5" w:rsidRPr="00314CAF" w:rsidRDefault="00314CAF" w:rsidP="007831A2">
            <w:pPr>
              <w:rPr>
                <w:sz w:val="22"/>
                <w:szCs w:val="22"/>
              </w:rPr>
            </w:pPr>
            <w:r w:rsidRPr="00314CAF">
              <w:rPr>
                <w:sz w:val="22"/>
                <w:szCs w:val="22"/>
              </w:rPr>
              <w:t>Suggested models</w:t>
            </w:r>
          </w:p>
        </w:tc>
        <w:tc>
          <w:tcPr>
            <w:tcW w:w="3195" w:type="pct"/>
          </w:tcPr>
          <w:p w14:paraId="14272C97" w14:textId="77777777" w:rsidR="00314CAF" w:rsidRPr="00314CAF" w:rsidRDefault="00314CAF" w:rsidP="00314CA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number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other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guidance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documents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might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serve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as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models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drafting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this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one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.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For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>example</w:t>
            </w:r>
            <w:proofErr w:type="spellEnd"/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: </w:t>
            </w:r>
          </w:p>
          <w:p w14:paraId="1B81D6C7" w14:textId="462EEF5D" w:rsidR="00F34AF5" w:rsidRPr="00314CAF" w:rsidRDefault="00314CAF" w:rsidP="00314CA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314CAF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http://www.pic.int/Portals/5/ResourceKit/B_Guidance%20information/a.Guidance%20to%20DNAs/E_DNA%20Guidance_040906.pdf </w:t>
            </w:r>
          </w:p>
        </w:tc>
        <w:tc>
          <w:tcPr>
            <w:tcW w:w="968" w:type="pct"/>
          </w:tcPr>
          <w:p w14:paraId="1BC33EEA" w14:textId="77777777" w:rsidR="0037186F" w:rsidRDefault="0037186F" w:rsidP="00402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Noted. </w:t>
            </w:r>
          </w:p>
          <w:p w14:paraId="45640B90" w14:textId="77777777" w:rsidR="0037186F" w:rsidRDefault="0037186F" w:rsidP="004022F7">
            <w:pPr>
              <w:rPr>
                <w:sz w:val="22"/>
                <w:szCs w:val="22"/>
              </w:rPr>
            </w:pPr>
          </w:p>
          <w:p w14:paraId="5F1940C5" w14:textId="24779FA8" w:rsidR="00F34AF5" w:rsidRPr="00314CAF" w:rsidRDefault="0037186F" w:rsidP="004022F7">
            <w:pPr>
              <w:rPr>
                <w:sz w:val="22"/>
                <w:szCs w:val="22"/>
              </w:rPr>
            </w:pPr>
            <w:r w:rsidRPr="0037186F">
              <w:rPr>
                <w:b/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 xml:space="preserve"> While the objective of this review was not to redraft the guidance, reference is made to existing guidance (RC, BC) that describes similar processes that may be useful to Parties</w:t>
            </w:r>
          </w:p>
        </w:tc>
      </w:tr>
      <w:tr w:rsidR="00A17FBC" w:rsidRPr="007831A2" w14:paraId="520227BC" w14:textId="77777777" w:rsidTr="00A17FBC">
        <w:trPr>
          <w:jc w:val="center"/>
        </w:trPr>
        <w:tc>
          <w:tcPr>
            <w:tcW w:w="323" w:type="pct"/>
          </w:tcPr>
          <w:p w14:paraId="23C91578" w14:textId="503CA547" w:rsidR="003131C2" w:rsidRPr="00314CAF" w:rsidRDefault="00C22E60" w:rsidP="007831A2">
            <w:pPr>
              <w:rPr>
                <w:sz w:val="22"/>
                <w:szCs w:val="22"/>
              </w:rPr>
            </w:pPr>
            <w:r w:rsidRPr="00314CAF">
              <w:rPr>
                <w:sz w:val="22"/>
                <w:szCs w:val="22"/>
              </w:rPr>
              <w:t>Romania</w:t>
            </w:r>
          </w:p>
        </w:tc>
        <w:tc>
          <w:tcPr>
            <w:tcW w:w="514" w:type="pct"/>
          </w:tcPr>
          <w:p w14:paraId="74497190" w14:textId="5BE67D55" w:rsidR="003131C2" w:rsidRPr="00314CAF" w:rsidRDefault="001435E5" w:rsidP="007831A2">
            <w:pPr>
              <w:rPr>
                <w:sz w:val="22"/>
                <w:szCs w:val="22"/>
              </w:rPr>
            </w:pPr>
            <w:r w:rsidRPr="00314CAF">
              <w:rPr>
                <w:sz w:val="22"/>
                <w:szCs w:val="22"/>
              </w:rPr>
              <w:t>General</w:t>
            </w:r>
          </w:p>
        </w:tc>
        <w:tc>
          <w:tcPr>
            <w:tcW w:w="3195" w:type="pct"/>
          </w:tcPr>
          <w:p w14:paraId="40969168" w14:textId="302CAFA1" w:rsidR="003131C2" w:rsidRPr="00314CAF" w:rsidRDefault="00DF0DF2" w:rsidP="00DF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We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propose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to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be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completed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with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information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for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new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added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POPs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.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Also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we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propose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to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add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reference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to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recently</w:t>
            </w:r>
            <w:proofErr w:type="spellEnd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developed</w:t>
            </w:r>
            <w:r w:rsidR="00F34AF5" w:rsidRPr="00314CAF">
              <w:rPr>
                <w:rFonts w:cs="Calibri"/>
                <w:color w:val="000000"/>
                <w:sz w:val="22"/>
                <w:szCs w:val="22"/>
                <w:lang w:val="es-ES"/>
              </w:rPr>
              <w:t>“</w:t>
            </w:r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>Manual</w:t>
            </w:r>
            <w:proofErr w:type="spellEnd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>for</w:t>
            </w:r>
            <w:proofErr w:type="spellEnd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>customs</w:t>
            </w:r>
            <w:proofErr w:type="spellEnd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>officers</w:t>
            </w:r>
            <w:proofErr w:type="spellEnd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>on</w:t>
            </w:r>
            <w:proofErr w:type="spellEnd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>hazardous</w:t>
            </w:r>
            <w:proofErr w:type="spellEnd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>chemicals</w:t>
            </w:r>
            <w:proofErr w:type="spellEnd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>wastes</w:t>
            </w:r>
            <w:proofErr w:type="spellEnd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>under</w:t>
            </w:r>
            <w:proofErr w:type="spellEnd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>Basel</w:t>
            </w:r>
            <w:proofErr w:type="spellEnd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, Rotterdam and </w:t>
            </w:r>
            <w:proofErr w:type="spellStart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>Stockholm</w:t>
            </w:r>
            <w:proofErr w:type="spellEnd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>Conventions</w:t>
            </w:r>
            <w:proofErr w:type="spellEnd"/>
            <w:r w:rsidR="00F34AF5" w:rsidRPr="00314CAF">
              <w:rPr>
                <w:rFonts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(2014)”. </w:t>
            </w:r>
          </w:p>
        </w:tc>
        <w:tc>
          <w:tcPr>
            <w:tcW w:w="968" w:type="pct"/>
          </w:tcPr>
          <w:p w14:paraId="5229AC83" w14:textId="77777777" w:rsidR="003131C2" w:rsidRPr="00314CAF" w:rsidRDefault="00DF0DF2" w:rsidP="004022F7">
            <w:pPr>
              <w:rPr>
                <w:sz w:val="22"/>
                <w:szCs w:val="22"/>
              </w:rPr>
            </w:pPr>
            <w:r w:rsidRPr="00314CAF">
              <w:rPr>
                <w:sz w:val="22"/>
                <w:szCs w:val="22"/>
              </w:rPr>
              <w:t>Agreed and updated accordingly.</w:t>
            </w:r>
          </w:p>
          <w:p w14:paraId="08FBA1B6" w14:textId="77777777" w:rsidR="00DF0DF2" w:rsidRPr="00314CAF" w:rsidRDefault="00DF0DF2" w:rsidP="004022F7">
            <w:pPr>
              <w:rPr>
                <w:sz w:val="22"/>
                <w:szCs w:val="22"/>
              </w:rPr>
            </w:pPr>
          </w:p>
          <w:p w14:paraId="6B55126D" w14:textId="2D31C437" w:rsidR="00DF0DF2" w:rsidRPr="00314CAF" w:rsidRDefault="00DF0DF2" w:rsidP="004022F7">
            <w:pPr>
              <w:rPr>
                <w:sz w:val="22"/>
                <w:szCs w:val="22"/>
              </w:rPr>
            </w:pPr>
            <w:r w:rsidRPr="00314CAF">
              <w:rPr>
                <w:b/>
                <w:sz w:val="22"/>
                <w:szCs w:val="22"/>
                <w:u w:val="single"/>
              </w:rPr>
              <w:t>Note</w:t>
            </w:r>
            <w:r w:rsidR="0037186F">
              <w:rPr>
                <w:sz w:val="22"/>
                <w:szCs w:val="22"/>
              </w:rPr>
              <w:t xml:space="preserve">: </w:t>
            </w:r>
            <w:r w:rsidRPr="00314CAF">
              <w:rPr>
                <w:sz w:val="22"/>
                <w:szCs w:val="22"/>
              </w:rPr>
              <w:t>some of the sources of information referenced in the guidance have not yet been updated to include POPs listed in 2013 and 2015</w:t>
            </w:r>
          </w:p>
        </w:tc>
      </w:tr>
    </w:tbl>
    <w:p w14:paraId="695DEE08" w14:textId="23CBF675" w:rsidR="00580750" w:rsidRDefault="00580750" w:rsidP="00580750">
      <w:pPr>
        <w:rPr>
          <w:sz w:val="22"/>
          <w:szCs w:val="22"/>
        </w:rPr>
      </w:pPr>
      <w:r w:rsidRPr="002C5D2A">
        <w:rPr>
          <w:b/>
          <w:i/>
          <w:sz w:val="22"/>
          <w:szCs w:val="22"/>
        </w:rPr>
        <w:t>Note</w:t>
      </w:r>
      <w:r>
        <w:rPr>
          <w:sz w:val="22"/>
          <w:szCs w:val="22"/>
        </w:rPr>
        <w:t>: References and web links have been checked and updated as necessary</w:t>
      </w:r>
    </w:p>
    <w:p w14:paraId="0B8121A9" w14:textId="77777777" w:rsidR="001624C7" w:rsidRPr="007831A2" w:rsidRDefault="001624C7" w:rsidP="007831A2">
      <w:pPr>
        <w:rPr>
          <w:sz w:val="22"/>
          <w:szCs w:val="22"/>
        </w:rPr>
      </w:pPr>
      <w:bookmarkStart w:id="0" w:name="_GoBack"/>
      <w:bookmarkEnd w:id="0"/>
    </w:p>
    <w:sectPr w:rsidR="001624C7" w:rsidRPr="007831A2" w:rsidSect="00D237D0">
      <w:pgSz w:w="16817" w:h="11901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3904B" w14:textId="77777777" w:rsidR="00314CAF" w:rsidRDefault="00314CAF" w:rsidP="0003013C">
      <w:r>
        <w:separator/>
      </w:r>
    </w:p>
  </w:endnote>
  <w:endnote w:type="continuationSeparator" w:id="0">
    <w:p w14:paraId="3DE00CD4" w14:textId="77777777" w:rsidR="00314CAF" w:rsidRDefault="00314CAF" w:rsidP="0003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0BC3D" w14:textId="77777777" w:rsidR="00314CAF" w:rsidRDefault="00314CAF" w:rsidP="0003013C">
      <w:r>
        <w:separator/>
      </w:r>
    </w:p>
  </w:footnote>
  <w:footnote w:type="continuationSeparator" w:id="0">
    <w:p w14:paraId="4EA55EFB" w14:textId="77777777" w:rsidR="00314CAF" w:rsidRDefault="00314CAF" w:rsidP="0003013C">
      <w:r>
        <w:continuationSeparator/>
      </w:r>
    </w:p>
  </w:footnote>
  <w:footnote w:id="1">
    <w:p w14:paraId="4CDBB65B" w14:textId="4C5EC3C2" w:rsidR="00314CAF" w:rsidRDefault="00314CAF" w:rsidP="003F3F5F">
      <w:pPr>
        <w:spacing w:line="360" w:lineRule="auto"/>
        <w:ind w:left="360"/>
        <w:rPr>
          <w:b/>
          <w:bCs/>
          <w:vertAlign w:val="superscript"/>
        </w:rPr>
      </w:pPr>
      <w:r w:rsidRPr="009751D0">
        <w:rPr>
          <w:rStyle w:val="Refdenotaalpie"/>
          <w:b/>
          <w:bCs/>
          <w:vertAlign w:val="superscript"/>
        </w:rPr>
        <w:footnoteRef/>
      </w:r>
      <w:r w:rsidRPr="009751D0">
        <w:rPr>
          <w:b/>
          <w:bCs/>
          <w:vertAlign w:val="superscript"/>
        </w:rPr>
        <w:t xml:space="preserve"> Based on Guidance available </w:t>
      </w:r>
      <w:proofErr w:type="gramStart"/>
      <w:r w:rsidRPr="009751D0">
        <w:rPr>
          <w:b/>
          <w:bCs/>
          <w:vertAlign w:val="superscript"/>
        </w:rPr>
        <w:t xml:space="preserve">at  </w:t>
      </w:r>
      <w:proofErr w:type="gramEnd"/>
      <w:hyperlink r:id="rId1" w:history="1">
        <w:r w:rsidRPr="00390461">
          <w:rPr>
            <w:rStyle w:val="Hipervnculo"/>
            <w:b/>
            <w:bCs/>
            <w:vertAlign w:val="superscript"/>
          </w:rPr>
          <w:t>http://chm.pops.int/Implementation/NIPs/Guidance/GuidanceforthecontroloftheimexportofPOPs/tabid/3173/Default.aspx</w:t>
        </w:r>
      </w:hyperlink>
    </w:p>
    <w:p w14:paraId="7D8A2F00" w14:textId="77777777" w:rsidR="00314CAF" w:rsidRPr="009751D0" w:rsidRDefault="00314CAF" w:rsidP="003F3F5F">
      <w:pPr>
        <w:spacing w:line="360" w:lineRule="auto"/>
        <w:ind w:left="360"/>
        <w:rPr>
          <w:b/>
          <w:bCs/>
          <w:vertAlign w:val="superscript"/>
        </w:rPr>
      </w:pPr>
    </w:p>
    <w:p w14:paraId="088E385C" w14:textId="77777777" w:rsidR="00314CAF" w:rsidRPr="003F3F5F" w:rsidRDefault="00314CAF" w:rsidP="003F3F5F">
      <w:pPr>
        <w:spacing w:line="360" w:lineRule="auto"/>
        <w:ind w:left="360"/>
        <w:rPr>
          <w:sz w:val="22"/>
          <w:szCs w:val="22"/>
        </w:rPr>
      </w:pPr>
    </w:p>
    <w:p w14:paraId="09D4850A" w14:textId="637CFBFB" w:rsidR="00314CAF" w:rsidRPr="003F3F5F" w:rsidRDefault="00314CAF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FC1"/>
    <w:multiLevelType w:val="hybridMultilevel"/>
    <w:tmpl w:val="91E2F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7187"/>
    <w:multiLevelType w:val="hybridMultilevel"/>
    <w:tmpl w:val="41C22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C4878"/>
    <w:multiLevelType w:val="hybridMultilevel"/>
    <w:tmpl w:val="B2BC4E8A"/>
    <w:lvl w:ilvl="0" w:tplc="5FE40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4388B"/>
    <w:multiLevelType w:val="hybridMultilevel"/>
    <w:tmpl w:val="E03E6F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A0C59"/>
    <w:multiLevelType w:val="hybridMultilevel"/>
    <w:tmpl w:val="CCBCD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F433F"/>
    <w:multiLevelType w:val="hybridMultilevel"/>
    <w:tmpl w:val="3384C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0D5BAD"/>
    <w:multiLevelType w:val="hybridMultilevel"/>
    <w:tmpl w:val="86EA1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1A"/>
    <w:rsid w:val="0003013C"/>
    <w:rsid w:val="00030A9E"/>
    <w:rsid w:val="00064E4C"/>
    <w:rsid w:val="0007334E"/>
    <w:rsid w:val="000A06B2"/>
    <w:rsid w:val="000C461A"/>
    <w:rsid w:val="000D142A"/>
    <w:rsid w:val="000E67A7"/>
    <w:rsid w:val="0012302C"/>
    <w:rsid w:val="001435E5"/>
    <w:rsid w:val="001624C7"/>
    <w:rsid w:val="0016686B"/>
    <w:rsid w:val="0019338D"/>
    <w:rsid w:val="00196445"/>
    <w:rsid w:val="001A3F22"/>
    <w:rsid w:val="00200DD2"/>
    <w:rsid w:val="00236F8D"/>
    <w:rsid w:val="00244192"/>
    <w:rsid w:val="002626D3"/>
    <w:rsid w:val="002B039C"/>
    <w:rsid w:val="003131C2"/>
    <w:rsid w:val="00314CAF"/>
    <w:rsid w:val="0031632B"/>
    <w:rsid w:val="00316DE5"/>
    <w:rsid w:val="0032312E"/>
    <w:rsid w:val="003236AD"/>
    <w:rsid w:val="0037186F"/>
    <w:rsid w:val="00395F00"/>
    <w:rsid w:val="003C4BCA"/>
    <w:rsid w:val="003D44E4"/>
    <w:rsid w:val="003E3EF0"/>
    <w:rsid w:val="003F3F5F"/>
    <w:rsid w:val="004022F7"/>
    <w:rsid w:val="004146F8"/>
    <w:rsid w:val="004339E6"/>
    <w:rsid w:val="004F3511"/>
    <w:rsid w:val="00514D85"/>
    <w:rsid w:val="00580750"/>
    <w:rsid w:val="005C2111"/>
    <w:rsid w:val="00694069"/>
    <w:rsid w:val="006F0FB5"/>
    <w:rsid w:val="006F73AE"/>
    <w:rsid w:val="0071179E"/>
    <w:rsid w:val="007124A3"/>
    <w:rsid w:val="0071391D"/>
    <w:rsid w:val="00781605"/>
    <w:rsid w:val="007831A2"/>
    <w:rsid w:val="007841E5"/>
    <w:rsid w:val="00823693"/>
    <w:rsid w:val="00854A14"/>
    <w:rsid w:val="008951AF"/>
    <w:rsid w:val="008A60AE"/>
    <w:rsid w:val="008C4209"/>
    <w:rsid w:val="00900E90"/>
    <w:rsid w:val="00916F5C"/>
    <w:rsid w:val="0092758C"/>
    <w:rsid w:val="00966BCD"/>
    <w:rsid w:val="009751D0"/>
    <w:rsid w:val="009C23AF"/>
    <w:rsid w:val="009D13B2"/>
    <w:rsid w:val="009E2A3A"/>
    <w:rsid w:val="009F24E6"/>
    <w:rsid w:val="009F400C"/>
    <w:rsid w:val="00A17FBC"/>
    <w:rsid w:val="00AA4353"/>
    <w:rsid w:val="00AB2DA1"/>
    <w:rsid w:val="00AE4E81"/>
    <w:rsid w:val="00B13E30"/>
    <w:rsid w:val="00B20F48"/>
    <w:rsid w:val="00B34482"/>
    <w:rsid w:val="00B36334"/>
    <w:rsid w:val="00B57ABD"/>
    <w:rsid w:val="00B729AF"/>
    <w:rsid w:val="00B7402F"/>
    <w:rsid w:val="00B877CD"/>
    <w:rsid w:val="00BA7E68"/>
    <w:rsid w:val="00C20E41"/>
    <w:rsid w:val="00C22E60"/>
    <w:rsid w:val="00C64E89"/>
    <w:rsid w:val="00C7103F"/>
    <w:rsid w:val="00D02752"/>
    <w:rsid w:val="00D237D0"/>
    <w:rsid w:val="00D268E9"/>
    <w:rsid w:val="00D61462"/>
    <w:rsid w:val="00D903B9"/>
    <w:rsid w:val="00DF0DF2"/>
    <w:rsid w:val="00E03969"/>
    <w:rsid w:val="00E26467"/>
    <w:rsid w:val="00EA5A1A"/>
    <w:rsid w:val="00EC232E"/>
    <w:rsid w:val="00F34AF5"/>
    <w:rsid w:val="00F816BD"/>
    <w:rsid w:val="00F96BB1"/>
    <w:rsid w:val="00F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B6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A5A1A"/>
    <w:pPr>
      <w:spacing w:before="1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EC232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3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32E"/>
    <w:rPr>
      <w:rFonts w:ascii="Lucida Grande" w:hAnsi="Lucida Grande" w:cs="Lucida Grande"/>
      <w:sz w:val="18"/>
      <w:szCs w:val="18"/>
      <w:lang w:val="en-GB"/>
    </w:rPr>
  </w:style>
  <w:style w:type="table" w:styleId="Tablaconcuadrcula">
    <w:name w:val="Table Grid"/>
    <w:basedOn w:val="Tablanormal"/>
    <w:uiPriority w:val="59"/>
    <w:rsid w:val="00B3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42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03013C"/>
  </w:style>
  <w:style w:type="paragraph" w:styleId="Textonotapie">
    <w:name w:val="footnote text"/>
    <w:basedOn w:val="Normal"/>
    <w:link w:val="TextonotapieCar"/>
    <w:uiPriority w:val="99"/>
    <w:unhideWhenUsed/>
    <w:rsid w:val="0003013C"/>
    <w:rPr>
      <w:rFonts w:eastAsiaTheme="minorHAns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3013C"/>
    <w:rPr>
      <w:rFonts w:eastAsiaTheme="minorHAns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316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A5A1A"/>
    <w:pPr>
      <w:spacing w:before="1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EC232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3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32E"/>
    <w:rPr>
      <w:rFonts w:ascii="Lucida Grande" w:hAnsi="Lucida Grande" w:cs="Lucida Grande"/>
      <w:sz w:val="18"/>
      <w:szCs w:val="18"/>
      <w:lang w:val="en-GB"/>
    </w:rPr>
  </w:style>
  <w:style w:type="table" w:styleId="Tablaconcuadrcula">
    <w:name w:val="Table Grid"/>
    <w:basedOn w:val="Tablanormal"/>
    <w:uiPriority w:val="59"/>
    <w:rsid w:val="00B3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42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03013C"/>
  </w:style>
  <w:style w:type="paragraph" w:styleId="Textonotapie">
    <w:name w:val="footnote text"/>
    <w:basedOn w:val="Normal"/>
    <w:link w:val="TextonotapieCar"/>
    <w:uiPriority w:val="99"/>
    <w:unhideWhenUsed/>
    <w:rsid w:val="0003013C"/>
    <w:rPr>
      <w:rFonts w:eastAsiaTheme="minorHAns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3013C"/>
    <w:rPr>
      <w:rFonts w:eastAsiaTheme="minorHAns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316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hm.pops.int/Implementation/NIPs/Guidance/GuidanceforthecontroloftheimexportofPOPs/tabid/3173/Default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519</Words>
  <Characters>2774</Characters>
  <Application>Microsoft Macintosh Word</Application>
  <DocSecurity>0</DocSecurity>
  <Lines>102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Freelance</Company>
  <LinksUpToDate>false</LinksUpToDate>
  <CharactersWithSpaces>3234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Yarto</dc:creator>
  <cp:keywords/>
  <dc:description/>
  <cp:lastModifiedBy>Mario Yarto</cp:lastModifiedBy>
  <cp:revision>6</cp:revision>
  <dcterms:created xsi:type="dcterms:W3CDTF">2017-04-23T17:35:00Z</dcterms:created>
  <dcterms:modified xsi:type="dcterms:W3CDTF">2017-04-24T22:30:00Z</dcterms:modified>
  <cp:category/>
</cp:coreProperties>
</file>