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A85" w:rsidRPr="0062263B" w:rsidRDefault="00244A85" w:rsidP="00244A85">
      <w:pPr>
        <w:tabs>
          <w:tab w:val="clear" w:pos="1247"/>
          <w:tab w:val="clear" w:pos="1814"/>
          <w:tab w:val="clear" w:pos="2381"/>
          <w:tab w:val="clear" w:pos="2948"/>
          <w:tab w:val="clear" w:pos="3515"/>
          <w:tab w:val="left" w:pos="624"/>
        </w:tabs>
        <w:spacing w:line="240" w:lineRule="auto"/>
        <w:ind w:left="1260"/>
        <w:jc w:val="left"/>
        <w:rPr>
          <w:rFonts w:eastAsia="SimHei"/>
          <w:b/>
          <w:bCs/>
          <w:sz w:val="32"/>
          <w:szCs w:val="32"/>
        </w:rPr>
      </w:pPr>
      <w:r w:rsidRPr="0062263B">
        <w:rPr>
          <w:b/>
          <w:sz w:val="32"/>
          <w:szCs w:val="32"/>
        </w:rPr>
        <w:t>SC-9/21</w:t>
      </w:r>
      <w:r w:rsidRPr="0062263B">
        <w:rPr>
          <w:b/>
          <w:sz w:val="32"/>
          <w:szCs w:val="32"/>
        </w:rPr>
        <w:t>：</w:t>
      </w:r>
      <w:r w:rsidRPr="0062263B">
        <w:rPr>
          <w:rFonts w:eastAsia="SimHei"/>
          <w:b/>
          <w:bCs/>
          <w:sz w:val="32"/>
          <w:szCs w:val="32"/>
        </w:rPr>
        <w:t>信息交换机制</w:t>
      </w:r>
    </w:p>
    <w:p w:rsidR="00244A85" w:rsidRPr="0062263B" w:rsidRDefault="00244A85" w:rsidP="00244A85">
      <w:pPr>
        <w:tabs>
          <w:tab w:val="left" w:pos="624"/>
        </w:tabs>
        <w:autoSpaceDE w:val="0"/>
        <w:autoSpaceDN w:val="0"/>
        <w:snapToGrid w:val="0"/>
        <w:spacing w:line="240" w:lineRule="auto"/>
        <w:ind w:left="1200" w:firstLine="600"/>
        <w:rPr>
          <w:rFonts w:eastAsia="KaiTi"/>
          <w:i/>
          <w:iCs/>
          <w:sz w:val="24"/>
        </w:rPr>
      </w:pPr>
      <w:r w:rsidRPr="0062263B">
        <w:rPr>
          <w:rFonts w:eastAsia="KaiTi"/>
          <w:sz w:val="24"/>
          <w:lang w:val="zh-CN"/>
        </w:rPr>
        <w:t>缔约方大会</w:t>
      </w:r>
    </w:p>
    <w:p w:rsidR="00244A85" w:rsidRPr="0062263B" w:rsidRDefault="00244A85" w:rsidP="00244A85">
      <w:pPr>
        <w:numPr>
          <w:ilvl w:val="0"/>
          <w:numId w:val="3"/>
        </w:numPr>
        <w:tabs>
          <w:tab w:val="clear" w:pos="1247"/>
          <w:tab w:val="clear" w:pos="1814"/>
          <w:tab w:val="clear" w:pos="2381"/>
          <w:tab w:val="clear" w:pos="2948"/>
          <w:tab w:val="clear" w:pos="3215"/>
          <w:tab w:val="clear" w:pos="3515"/>
          <w:tab w:val="left" w:pos="624"/>
          <w:tab w:val="left" w:pos="2250"/>
          <w:tab w:val="left" w:pos="2340"/>
          <w:tab w:val="left" w:pos="2430"/>
        </w:tabs>
        <w:autoSpaceDE w:val="0"/>
        <w:autoSpaceDN w:val="0"/>
        <w:snapToGrid w:val="0"/>
        <w:spacing w:line="240" w:lineRule="auto"/>
        <w:ind w:left="1200" w:firstLine="600"/>
        <w:rPr>
          <w:sz w:val="24"/>
        </w:rPr>
      </w:pPr>
      <w:r>
        <w:rPr>
          <w:rFonts w:eastAsia="KaiTi" w:hint="eastAsia"/>
          <w:sz w:val="24"/>
          <w:lang w:val="zh-CN"/>
        </w:rPr>
        <w:t xml:space="preserve"> </w:t>
      </w:r>
      <w:r>
        <w:rPr>
          <w:rFonts w:eastAsia="KaiTi"/>
          <w:sz w:val="24"/>
        </w:rPr>
        <w:t xml:space="preserve">  </w:t>
      </w:r>
      <w:r w:rsidRPr="0062263B">
        <w:rPr>
          <w:rFonts w:eastAsia="KaiTi"/>
          <w:sz w:val="24"/>
          <w:lang w:val="zh-CN"/>
        </w:rPr>
        <w:t>欢迎</w:t>
      </w:r>
      <w:r w:rsidRPr="0062263B">
        <w:rPr>
          <w:sz w:val="24"/>
          <w:lang w:val="zh-CN"/>
        </w:rPr>
        <w:t>在实施联合信息交换机制上取得的进展；</w:t>
      </w:r>
    </w:p>
    <w:p w:rsidR="00244A85" w:rsidRPr="0062263B" w:rsidRDefault="00244A85" w:rsidP="00244A85">
      <w:pPr>
        <w:numPr>
          <w:ilvl w:val="0"/>
          <w:numId w:val="3"/>
        </w:numPr>
        <w:tabs>
          <w:tab w:val="clear" w:pos="1247"/>
          <w:tab w:val="clear" w:pos="1814"/>
          <w:tab w:val="clear" w:pos="2381"/>
          <w:tab w:val="clear" w:pos="2948"/>
          <w:tab w:val="clear" w:pos="3215"/>
          <w:tab w:val="clear" w:pos="3515"/>
          <w:tab w:val="left" w:pos="624"/>
          <w:tab w:val="left" w:pos="2250"/>
          <w:tab w:val="left" w:pos="2340"/>
        </w:tabs>
        <w:autoSpaceDE w:val="0"/>
        <w:autoSpaceDN w:val="0"/>
        <w:snapToGrid w:val="0"/>
        <w:spacing w:line="240" w:lineRule="auto"/>
        <w:ind w:left="1260" w:firstLine="540"/>
        <w:rPr>
          <w:sz w:val="24"/>
          <w:szCs w:val="24"/>
        </w:rPr>
      </w:pPr>
      <w:r>
        <w:rPr>
          <w:rFonts w:eastAsia="KaiTi" w:hint="eastAsia"/>
          <w:sz w:val="24"/>
          <w:szCs w:val="24"/>
          <w:lang w:val="zh-CN"/>
        </w:rPr>
        <w:t xml:space="preserve"> </w:t>
      </w:r>
      <w:r>
        <w:rPr>
          <w:rFonts w:eastAsia="KaiTi"/>
          <w:sz w:val="24"/>
          <w:szCs w:val="24"/>
        </w:rPr>
        <w:t xml:space="preserve">  </w:t>
      </w:r>
      <w:r w:rsidRPr="0062263B">
        <w:rPr>
          <w:rFonts w:eastAsia="KaiTi"/>
          <w:sz w:val="24"/>
          <w:szCs w:val="24"/>
          <w:lang w:val="zh-CN"/>
        </w:rPr>
        <w:t>又欢迎</w:t>
      </w:r>
      <w:r w:rsidRPr="0062263B">
        <w:rPr>
          <w:sz w:val="24"/>
          <w:szCs w:val="24"/>
          <w:lang w:val="zh-CN"/>
        </w:rPr>
        <w:t>秘书处在编制</w:t>
      </w:r>
      <w:r w:rsidRPr="0062263B">
        <w:rPr>
          <w:sz w:val="24"/>
          <w:szCs w:val="24"/>
          <w:lang w:val="zh-CN"/>
        </w:rPr>
        <w:t>2020-2021</w:t>
      </w:r>
      <w:r w:rsidRPr="0062263B">
        <w:rPr>
          <w:sz w:val="24"/>
          <w:szCs w:val="24"/>
          <w:lang w:val="zh-CN"/>
        </w:rPr>
        <w:t>两年期实施联合信息交换机制工作计划草案方面所做的工作；</w:t>
      </w:r>
      <w:r w:rsidRPr="0062263B">
        <w:rPr>
          <w:rStyle w:val="FootnoteReference"/>
          <w:sz w:val="24"/>
          <w:szCs w:val="24"/>
          <w:lang w:val="zh-CN"/>
        </w:rPr>
        <w:footnoteReference w:customMarkFollows="1" w:id="1"/>
        <w:t>1</w:t>
      </w:r>
    </w:p>
    <w:p w:rsidR="00244A85" w:rsidRPr="0062263B" w:rsidRDefault="00244A85" w:rsidP="00244A85">
      <w:pPr>
        <w:numPr>
          <w:ilvl w:val="0"/>
          <w:numId w:val="3"/>
        </w:numPr>
        <w:tabs>
          <w:tab w:val="clear" w:pos="1247"/>
          <w:tab w:val="clear" w:pos="1814"/>
          <w:tab w:val="clear" w:pos="2381"/>
          <w:tab w:val="clear" w:pos="2948"/>
          <w:tab w:val="clear" w:pos="3215"/>
          <w:tab w:val="clear" w:pos="3515"/>
          <w:tab w:val="left" w:pos="624"/>
          <w:tab w:val="left" w:pos="2250"/>
        </w:tabs>
        <w:autoSpaceDE w:val="0"/>
        <w:autoSpaceDN w:val="0"/>
        <w:snapToGrid w:val="0"/>
        <w:spacing w:line="240" w:lineRule="auto"/>
        <w:ind w:left="1200" w:firstLine="600"/>
        <w:rPr>
          <w:sz w:val="24"/>
          <w:szCs w:val="24"/>
        </w:rPr>
      </w:pPr>
      <w:r>
        <w:rPr>
          <w:rFonts w:eastAsia="KaiTi" w:hint="eastAsia"/>
          <w:sz w:val="24"/>
          <w:szCs w:val="24"/>
          <w:lang w:val="zh-CN"/>
        </w:rPr>
        <w:t xml:space="preserve"> </w:t>
      </w:r>
      <w:r>
        <w:rPr>
          <w:rFonts w:eastAsia="KaiTi"/>
          <w:sz w:val="24"/>
          <w:szCs w:val="24"/>
        </w:rPr>
        <w:t xml:space="preserve">  </w:t>
      </w:r>
      <w:r w:rsidRPr="0062263B">
        <w:rPr>
          <w:rFonts w:eastAsia="KaiTi"/>
          <w:sz w:val="24"/>
          <w:szCs w:val="24"/>
          <w:lang w:val="zh-CN"/>
        </w:rPr>
        <w:t>请</w:t>
      </w:r>
      <w:r w:rsidRPr="0062263B">
        <w:rPr>
          <w:sz w:val="24"/>
          <w:szCs w:val="24"/>
          <w:lang w:val="zh-CN"/>
        </w:rPr>
        <w:t>秘书处：</w:t>
      </w:r>
    </w:p>
    <w:p w:rsidR="00244A85" w:rsidRPr="0062263B" w:rsidRDefault="00244A85" w:rsidP="00244A85">
      <w:pPr>
        <w:pStyle w:val="Normalpool"/>
        <w:numPr>
          <w:ilvl w:val="0"/>
          <w:numId w:val="4"/>
        </w:numPr>
        <w:tabs>
          <w:tab w:val="clear" w:pos="1247"/>
          <w:tab w:val="clear" w:pos="1814"/>
          <w:tab w:val="clear" w:pos="2381"/>
          <w:tab w:val="clear" w:pos="2948"/>
          <w:tab w:val="clear" w:pos="3515"/>
          <w:tab w:val="clear" w:pos="4082"/>
          <w:tab w:val="left" w:pos="624"/>
          <w:tab w:val="left" w:pos="2250"/>
        </w:tabs>
        <w:snapToGrid w:val="0"/>
        <w:spacing w:after="120"/>
        <w:ind w:left="1260" w:firstLine="540"/>
        <w:jc w:val="both"/>
        <w:rPr>
          <w:sz w:val="24"/>
          <w:szCs w:val="24"/>
          <w:lang w:eastAsia="zh-CN"/>
        </w:rPr>
      </w:pPr>
      <w:r>
        <w:rPr>
          <w:rFonts w:hint="eastAsia"/>
          <w:sz w:val="24"/>
          <w:szCs w:val="24"/>
          <w:lang w:val="zh-CN" w:eastAsia="zh-CN"/>
        </w:rPr>
        <w:t xml:space="preserve"> </w:t>
      </w:r>
      <w:r>
        <w:rPr>
          <w:sz w:val="24"/>
          <w:szCs w:val="24"/>
          <w:lang w:val="en-US" w:eastAsia="zh-CN"/>
        </w:rPr>
        <w:t xml:space="preserve">  </w:t>
      </w:r>
      <w:r w:rsidRPr="0062263B">
        <w:rPr>
          <w:sz w:val="24"/>
          <w:szCs w:val="24"/>
          <w:lang w:val="zh-CN" w:eastAsia="zh-CN"/>
        </w:rPr>
        <w:t>继续开展工作，</w:t>
      </w:r>
      <w:r w:rsidRPr="0062263B">
        <w:rPr>
          <w:sz w:val="24"/>
          <w:szCs w:val="24"/>
          <w:lang w:eastAsia="zh-CN"/>
        </w:rPr>
        <w:t>以渐进且具有成本效益的方式</w:t>
      </w:r>
      <w:r w:rsidRPr="0062263B">
        <w:rPr>
          <w:sz w:val="24"/>
          <w:szCs w:val="24"/>
          <w:lang w:val="zh-CN" w:eastAsia="zh-CN"/>
        </w:rPr>
        <w:t>实施联合信息交换机制战略</w:t>
      </w:r>
      <w:r w:rsidRPr="0062263B">
        <w:rPr>
          <w:rStyle w:val="FootnoteReference"/>
          <w:sz w:val="24"/>
          <w:szCs w:val="24"/>
          <w:lang w:val="zh-CN" w:eastAsia="zh-CN"/>
        </w:rPr>
        <w:footnoteReference w:customMarkFollows="1" w:id="2"/>
        <w:t>2</w:t>
      </w:r>
      <w:r w:rsidRPr="0062263B">
        <w:rPr>
          <w:sz w:val="24"/>
          <w:szCs w:val="24"/>
          <w:lang w:val="zh-CN" w:eastAsia="zh-CN"/>
        </w:rPr>
        <w:t>；</w:t>
      </w:r>
    </w:p>
    <w:p w:rsidR="00244A85" w:rsidRPr="0062263B" w:rsidRDefault="00244A85" w:rsidP="00244A85">
      <w:pPr>
        <w:pStyle w:val="Normalpool"/>
        <w:numPr>
          <w:ilvl w:val="0"/>
          <w:numId w:val="4"/>
        </w:numPr>
        <w:tabs>
          <w:tab w:val="clear" w:pos="1247"/>
          <w:tab w:val="clear" w:pos="1814"/>
          <w:tab w:val="clear" w:pos="2381"/>
          <w:tab w:val="clear" w:pos="2948"/>
          <w:tab w:val="clear" w:pos="3515"/>
          <w:tab w:val="clear" w:pos="4082"/>
          <w:tab w:val="left" w:pos="624"/>
          <w:tab w:val="left" w:pos="2250"/>
          <w:tab w:val="left" w:pos="2430"/>
        </w:tabs>
        <w:snapToGrid w:val="0"/>
        <w:spacing w:after="120"/>
        <w:ind w:left="1260" w:firstLine="540"/>
        <w:jc w:val="both"/>
        <w:rPr>
          <w:sz w:val="24"/>
          <w:szCs w:val="24"/>
          <w:lang w:val="zh-CN" w:eastAsia="zh-CN"/>
        </w:rPr>
      </w:pPr>
      <w:r>
        <w:rPr>
          <w:rFonts w:hint="eastAsia"/>
          <w:sz w:val="24"/>
          <w:szCs w:val="24"/>
          <w:lang w:val="zh-CN" w:eastAsia="zh-CN"/>
        </w:rPr>
        <w:t xml:space="preserve"> </w:t>
      </w:r>
      <w:r>
        <w:rPr>
          <w:sz w:val="24"/>
          <w:szCs w:val="24"/>
          <w:lang w:val="en-US" w:eastAsia="zh-CN"/>
        </w:rPr>
        <w:t xml:space="preserve">  </w:t>
      </w:r>
      <w:r w:rsidRPr="0062263B">
        <w:rPr>
          <w:sz w:val="24"/>
          <w:szCs w:val="24"/>
          <w:lang w:val="zh-CN" w:eastAsia="zh-CN"/>
        </w:rPr>
        <w:t>根据《关于</w:t>
      </w:r>
      <w:r>
        <w:rPr>
          <w:rFonts w:hint="eastAsia"/>
          <w:sz w:val="24"/>
          <w:szCs w:val="24"/>
          <w:lang w:val="zh-CN" w:eastAsia="zh-CN"/>
        </w:rPr>
        <w:t>持久性有机污染物</w:t>
      </w:r>
      <w:r w:rsidRPr="0062263B">
        <w:rPr>
          <w:sz w:val="24"/>
          <w:szCs w:val="24"/>
          <w:lang w:val="zh-CN" w:eastAsia="zh-CN"/>
        </w:rPr>
        <w:t>的</w:t>
      </w:r>
      <w:r>
        <w:rPr>
          <w:rFonts w:hint="eastAsia"/>
          <w:sz w:val="24"/>
          <w:szCs w:val="24"/>
          <w:lang w:val="zh-CN" w:eastAsia="zh-CN"/>
        </w:rPr>
        <w:t>斯德哥尔摩</w:t>
      </w:r>
      <w:r w:rsidRPr="0062263B">
        <w:rPr>
          <w:sz w:val="24"/>
          <w:szCs w:val="24"/>
          <w:lang w:val="zh-CN" w:eastAsia="zh-CN"/>
        </w:rPr>
        <w:t>公约》</w:t>
      </w:r>
      <w:r w:rsidRPr="0062263B">
        <w:rPr>
          <w:sz w:val="24"/>
          <w:szCs w:val="24"/>
          <w:lang w:val="zh-CN" w:eastAsia="zh-CN"/>
        </w:rPr>
        <w:t>2020-2021</w:t>
      </w:r>
      <w:r w:rsidRPr="0062263B">
        <w:rPr>
          <w:sz w:val="24"/>
          <w:szCs w:val="24"/>
          <w:lang w:val="zh-CN" w:eastAsia="zh-CN"/>
        </w:rPr>
        <w:t>两年期工作方案和预算，实施本决定第</w:t>
      </w:r>
      <w:r w:rsidRPr="0062263B">
        <w:rPr>
          <w:sz w:val="24"/>
          <w:szCs w:val="24"/>
          <w:lang w:val="zh-CN" w:eastAsia="zh-CN"/>
        </w:rPr>
        <w:t>2</w:t>
      </w:r>
      <w:r w:rsidRPr="0062263B">
        <w:rPr>
          <w:sz w:val="24"/>
          <w:szCs w:val="24"/>
          <w:lang w:val="zh-CN" w:eastAsia="zh-CN"/>
        </w:rPr>
        <w:t>段所述的该两年期信息交换机制工作计划的维护活动，同时优先考虑经常性活动，特别是在维护现有系统方面的活动；</w:t>
      </w:r>
      <w:r w:rsidRPr="0062263B">
        <w:rPr>
          <w:sz w:val="24"/>
          <w:szCs w:val="24"/>
          <w:lang w:val="zh-CN" w:eastAsia="zh-CN"/>
        </w:rPr>
        <w:t xml:space="preserve"> </w:t>
      </w:r>
    </w:p>
    <w:p w:rsidR="00244A85" w:rsidRPr="0062263B" w:rsidRDefault="00244A85" w:rsidP="00244A85">
      <w:pPr>
        <w:pStyle w:val="Normalpool"/>
        <w:numPr>
          <w:ilvl w:val="0"/>
          <w:numId w:val="4"/>
        </w:numPr>
        <w:tabs>
          <w:tab w:val="clear" w:pos="1247"/>
          <w:tab w:val="clear" w:pos="1814"/>
          <w:tab w:val="clear" w:pos="2381"/>
          <w:tab w:val="clear" w:pos="2948"/>
          <w:tab w:val="clear" w:pos="3515"/>
          <w:tab w:val="clear" w:pos="4082"/>
          <w:tab w:val="left" w:pos="624"/>
          <w:tab w:val="left" w:pos="2250"/>
          <w:tab w:val="left" w:pos="2430"/>
        </w:tabs>
        <w:snapToGrid w:val="0"/>
        <w:spacing w:after="120"/>
        <w:ind w:left="1260" w:firstLine="540"/>
        <w:jc w:val="both"/>
        <w:rPr>
          <w:sz w:val="24"/>
          <w:szCs w:val="24"/>
          <w:lang w:val="zh-CN" w:eastAsia="zh-CN"/>
        </w:rPr>
      </w:pPr>
      <w:r>
        <w:rPr>
          <w:rFonts w:hint="eastAsia"/>
          <w:sz w:val="24"/>
          <w:szCs w:val="24"/>
          <w:lang w:val="zh-CN" w:eastAsia="zh-CN"/>
        </w:rPr>
        <w:t xml:space="preserve"> </w:t>
      </w:r>
      <w:r>
        <w:rPr>
          <w:sz w:val="24"/>
          <w:szCs w:val="24"/>
          <w:lang w:val="en-US" w:eastAsia="zh-CN"/>
        </w:rPr>
        <w:t xml:space="preserve">  </w:t>
      </w:r>
      <w:r w:rsidRPr="0062263B">
        <w:rPr>
          <w:sz w:val="24"/>
          <w:szCs w:val="24"/>
          <w:lang w:val="zh-CN" w:eastAsia="zh-CN"/>
        </w:rPr>
        <w:t>根据《</w:t>
      </w:r>
      <w:r>
        <w:rPr>
          <w:rFonts w:hint="eastAsia"/>
          <w:sz w:val="24"/>
          <w:szCs w:val="24"/>
          <w:lang w:val="zh-CN" w:eastAsia="zh-CN"/>
        </w:rPr>
        <w:t>斯德哥尔摩</w:t>
      </w:r>
      <w:r w:rsidRPr="0062263B">
        <w:rPr>
          <w:sz w:val="24"/>
          <w:szCs w:val="24"/>
          <w:lang w:val="zh-CN" w:eastAsia="zh-CN"/>
        </w:rPr>
        <w:t>公约》</w:t>
      </w:r>
      <w:r w:rsidRPr="0062263B">
        <w:rPr>
          <w:sz w:val="24"/>
          <w:szCs w:val="24"/>
          <w:lang w:val="zh-CN" w:eastAsia="zh-CN"/>
        </w:rPr>
        <w:t>2020-2021</w:t>
      </w:r>
      <w:r w:rsidRPr="0062263B">
        <w:rPr>
          <w:sz w:val="24"/>
          <w:szCs w:val="24"/>
          <w:lang w:val="zh-CN" w:eastAsia="zh-CN"/>
        </w:rPr>
        <w:t>两年期工作方案和预算，在资源允许的情况下，执行本决定第</w:t>
      </w:r>
      <w:r w:rsidRPr="0062263B">
        <w:rPr>
          <w:sz w:val="24"/>
          <w:szCs w:val="24"/>
          <w:lang w:val="zh-CN" w:eastAsia="zh-CN"/>
        </w:rPr>
        <w:t>2</w:t>
      </w:r>
      <w:r w:rsidRPr="0062263B">
        <w:rPr>
          <w:sz w:val="24"/>
          <w:szCs w:val="24"/>
          <w:lang w:val="zh-CN" w:eastAsia="zh-CN"/>
        </w:rPr>
        <w:t>段所述的两年期信息交换机制工作计划的新活动；</w:t>
      </w:r>
    </w:p>
    <w:p w:rsidR="00244A85" w:rsidRPr="0062263B" w:rsidRDefault="00244A85" w:rsidP="00244A85">
      <w:pPr>
        <w:numPr>
          <w:ilvl w:val="0"/>
          <w:numId w:val="3"/>
        </w:numPr>
        <w:tabs>
          <w:tab w:val="clear" w:pos="1247"/>
          <w:tab w:val="clear" w:pos="1814"/>
          <w:tab w:val="clear" w:pos="2381"/>
          <w:tab w:val="clear" w:pos="2948"/>
          <w:tab w:val="clear" w:pos="3215"/>
          <w:tab w:val="clear" w:pos="3515"/>
          <w:tab w:val="left" w:pos="624"/>
          <w:tab w:val="left" w:pos="2250"/>
          <w:tab w:val="left" w:pos="2430"/>
        </w:tabs>
        <w:autoSpaceDE w:val="0"/>
        <w:autoSpaceDN w:val="0"/>
        <w:snapToGrid w:val="0"/>
        <w:spacing w:line="240" w:lineRule="auto"/>
        <w:ind w:left="1200" w:firstLine="600"/>
        <w:rPr>
          <w:sz w:val="24"/>
        </w:rPr>
      </w:pPr>
      <w:r>
        <w:rPr>
          <w:rFonts w:eastAsia="KaiTi" w:hint="eastAsia"/>
          <w:sz w:val="24"/>
          <w:lang w:val="zh-CN"/>
        </w:rPr>
        <w:t xml:space="preserve"> </w:t>
      </w:r>
      <w:r>
        <w:rPr>
          <w:rFonts w:eastAsia="KaiTi"/>
          <w:sz w:val="24"/>
        </w:rPr>
        <w:t xml:space="preserve">  </w:t>
      </w:r>
      <w:r w:rsidRPr="0062263B">
        <w:rPr>
          <w:rFonts w:eastAsia="KaiTi"/>
          <w:sz w:val="24"/>
          <w:lang w:val="zh-CN"/>
        </w:rPr>
        <w:t>又请</w:t>
      </w:r>
      <w:r w:rsidRPr="0062263B">
        <w:rPr>
          <w:sz w:val="24"/>
          <w:lang w:val="zh-CN"/>
        </w:rPr>
        <w:t>秘书处：</w:t>
      </w:r>
    </w:p>
    <w:p w:rsidR="00244A85" w:rsidRPr="0062263B" w:rsidRDefault="00244A85" w:rsidP="00244A85">
      <w:pPr>
        <w:pStyle w:val="Normalpool"/>
        <w:numPr>
          <w:ilvl w:val="0"/>
          <w:numId w:val="5"/>
        </w:numPr>
        <w:tabs>
          <w:tab w:val="clear" w:pos="1247"/>
          <w:tab w:val="clear" w:pos="1814"/>
          <w:tab w:val="clear" w:pos="2381"/>
          <w:tab w:val="clear" w:pos="2948"/>
          <w:tab w:val="clear" w:pos="3515"/>
          <w:tab w:val="clear" w:pos="4082"/>
          <w:tab w:val="left" w:pos="624"/>
          <w:tab w:val="left" w:pos="2250"/>
        </w:tabs>
        <w:snapToGrid w:val="0"/>
        <w:spacing w:after="120"/>
        <w:ind w:left="1260" w:firstLine="540"/>
        <w:jc w:val="both"/>
        <w:rPr>
          <w:sz w:val="24"/>
          <w:szCs w:val="24"/>
          <w:lang w:val="zh-CN" w:eastAsia="zh-CN"/>
        </w:rPr>
      </w:pPr>
      <w:r w:rsidRPr="0062263B">
        <w:rPr>
          <w:sz w:val="24"/>
          <w:szCs w:val="24"/>
          <w:lang w:val="zh-CN" w:eastAsia="zh-CN"/>
        </w:rPr>
        <w:t>确保在信息交换机制建设过程中所开展的各项活动具有成本效益、保持适度和均衡，并与秘书处的能力和资源相符；</w:t>
      </w:r>
    </w:p>
    <w:p w:rsidR="00244A85" w:rsidRPr="0000450A" w:rsidRDefault="00244A85" w:rsidP="00244A85">
      <w:pPr>
        <w:pStyle w:val="Normalpool"/>
        <w:numPr>
          <w:ilvl w:val="0"/>
          <w:numId w:val="5"/>
        </w:numPr>
        <w:tabs>
          <w:tab w:val="clear" w:pos="1247"/>
          <w:tab w:val="clear" w:pos="1814"/>
          <w:tab w:val="clear" w:pos="2381"/>
          <w:tab w:val="clear" w:pos="2948"/>
          <w:tab w:val="clear" w:pos="3515"/>
          <w:tab w:val="clear" w:pos="4082"/>
          <w:tab w:val="left" w:pos="624"/>
          <w:tab w:val="left" w:pos="2250"/>
        </w:tabs>
        <w:snapToGrid w:val="0"/>
        <w:spacing w:after="120"/>
        <w:ind w:left="1260" w:firstLine="540"/>
        <w:jc w:val="both"/>
        <w:rPr>
          <w:spacing w:val="4"/>
          <w:sz w:val="24"/>
          <w:szCs w:val="24"/>
          <w:lang w:val="zh-CN" w:eastAsia="zh-CN"/>
        </w:rPr>
      </w:pPr>
      <w:r w:rsidRPr="0000450A">
        <w:rPr>
          <w:rFonts w:hint="eastAsia"/>
          <w:spacing w:val="4"/>
          <w:sz w:val="24"/>
          <w:szCs w:val="24"/>
          <w:lang w:val="zh-CN" w:eastAsia="zh-CN"/>
        </w:rPr>
        <w:t xml:space="preserve"> </w:t>
      </w:r>
      <w:r w:rsidRPr="0000450A">
        <w:rPr>
          <w:spacing w:val="4"/>
          <w:sz w:val="24"/>
          <w:szCs w:val="24"/>
          <w:lang w:val="en-US" w:eastAsia="zh-CN"/>
        </w:rPr>
        <w:t xml:space="preserve">  </w:t>
      </w:r>
      <w:r w:rsidRPr="000805A1">
        <w:rPr>
          <w:sz w:val="24"/>
          <w:szCs w:val="24"/>
          <w:lang w:val="zh-CN" w:eastAsia="zh-CN"/>
        </w:rPr>
        <w:t>尽可能</w:t>
      </w:r>
      <w:r w:rsidRPr="0000450A">
        <w:rPr>
          <w:spacing w:val="4"/>
          <w:sz w:val="24"/>
          <w:szCs w:val="24"/>
          <w:lang w:val="zh-CN" w:eastAsia="zh-CN"/>
        </w:rPr>
        <w:t>以电子方式参加会议，并使用已有的联合国六种正式语文译文；</w:t>
      </w:r>
    </w:p>
    <w:p w:rsidR="00244A85" w:rsidRPr="0062263B" w:rsidRDefault="00244A85" w:rsidP="00244A85">
      <w:pPr>
        <w:pStyle w:val="Normalpool"/>
        <w:numPr>
          <w:ilvl w:val="0"/>
          <w:numId w:val="5"/>
        </w:numPr>
        <w:tabs>
          <w:tab w:val="clear" w:pos="1247"/>
          <w:tab w:val="clear" w:pos="1814"/>
          <w:tab w:val="clear" w:pos="2381"/>
          <w:tab w:val="clear" w:pos="2948"/>
          <w:tab w:val="clear" w:pos="3515"/>
          <w:tab w:val="clear" w:pos="4082"/>
          <w:tab w:val="left" w:pos="624"/>
          <w:tab w:val="left" w:pos="2250"/>
        </w:tabs>
        <w:snapToGrid w:val="0"/>
        <w:spacing w:after="120"/>
        <w:ind w:left="1260" w:firstLine="540"/>
        <w:jc w:val="both"/>
        <w:rPr>
          <w:sz w:val="24"/>
          <w:szCs w:val="24"/>
          <w:lang w:val="zh-CN" w:eastAsia="zh-CN"/>
        </w:rPr>
      </w:pPr>
      <w:r>
        <w:rPr>
          <w:rFonts w:hint="eastAsia"/>
          <w:sz w:val="24"/>
          <w:szCs w:val="24"/>
          <w:lang w:val="zh-CN" w:eastAsia="zh-CN"/>
        </w:rPr>
        <w:t xml:space="preserve"> </w:t>
      </w:r>
      <w:r>
        <w:rPr>
          <w:sz w:val="24"/>
          <w:szCs w:val="24"/>
          <w:lang w:val="en-US" w:eastAsia="zh-CN"/>
        </w:rPr>
        <w:t xml:space="preserve">  </w:t>
      </w:r>
      <w:r w:rsidRPr="0062263B">
        <w:rPr>
          <w:sz w:val="24"/>
          <w:szCs w:val="24"/>
          <w:lang w:val="zh-CN" w:eastAsia="zh-CN"/>
        </w:rPr>
        <w:t>利用信息交换机制收集与废物管理有关的区域和国家举措的信息，包括关于塑料废物的举措，同时考虑到其他举措并与之合作；</w:t>
      </w:r>
    </w:p>
    <w:p w:rsidR="00244A85" w:rsidRPr="0062263B" w:rsidRDefault="00244A85" w:rsidP="00244A85">
      <w:pPr>
        <w:pStyle w:val="Normalpool"/>
        <w:numPr>
          <w:ilvl w:val="0"/>
          <w:numId w:val="5"/>
        </w:numPr>
        <w:tabs>
          <w:tab w:val="clear" w:pos="1247"/>
          <w:tab w:val="clear" w:pos="1814"/>
          <w:tab w:val="clear" w:pos="2381"/>
          <w:tab w:val="clear" w:pos="2948"/>
          <w:tab w:val="clear" w:pos="3515"/>
          <w:tab w:val="clear" w:pos="4082"/>
          <w:tab w:val="left" w:pos="624"/>
          <w:tab w:val="left" w:pos="2250"/>
        </w:tabs>
        <w:snapToGrid w:val="0"/>
        <w:spacing w:after="120"/>
        <w:ind w:left="1260" w:firstLine="540"/>
        <w:jc w:val="both"/>
        <w:rPr>
          <w:sz w:val="24"/>
          <w:szCs w:val="24"/>
          <w:lang w:val="zh-CN" w:eastAsia="zh-CN"/>
        </w:rPr>
      </w:pPr>
      <w:r>
        <w:rPr>
          <w:rFonts w:hint="eastAsia"/>
          <w:sz w:val="24"/>
          <w:szCs w:val="24"/>
          <w:lang w:val="zh-CN" w:eastAsia="zh-CN"/>
        </w:rPr>
        <w:t xml:space="preserve"> </w:t>
      </w:r>
      <w:r>
        <w:rPr>
          <w:sz w:val="24"/>
          <w:szCs w:val="24"/>
          <w:lang w:val="en-US" w:eastAsia="zh-CN"/>
        </w:rPr>
        <w:t xml:space="preserve">  </w:t>
      </w:r>
      <w:r w:rsidRPr="0062263B">
        <w:rPr>
          <w:sz w:val="24"/>
          <w:szCs w:val="24"/>
          <w:lang w:val="zh-CN" w:eastAsia="zh-CN"/>
        </w:rPr>
        <w:t>继续与现有合作伙伴加强信息交流领域的合作和协调活动，并酌情探讨与新合作伙伴可能开展的合作活动，确保实现互补，避免与现有和今后的活动、工具和机制发生重叠；</w:t>
      </w:r>
    </w:p>
    <w:p w:rsidR="00244A85" w:rsidRPr="0062263B" w:rsidRDefault="00244A85" w:rsidP="00244A85">
      <w:pPr>
        <w:pStyle w:val="Normalpool"/>
        <w:numPr>
          <w:ilvl w:val="0"/>
          <w:numId w:val="5"/>
        </w:numPr>
        <w:tabs>
          <w:tab w:val="clear" w:pos="1247"/>
          <w:tab w:val="clear" w:pos="1814"/>
          <w:tab w:val="clear" w:pos="2381"/>
          <w:tab w:val="clear" w:pos="2948"/>
          <w:tab w:val="clear" w:pos="3515"/>
          <w:tab w:val="clear" w:pos="4082"/>
          <w:tab w:val="left" w:pos="624"/>
          <w:tab w:val="left" w:pos="2250"/>
        </w:tabs>
        <w:snapToGrid w:val="0"/>
        <w:spacing w:after="120"/>
        <w:ind w:left="1260" w:firstLine="540"/>
        <w:jc w:val="both"/>
        <w:rPr>
          <w:sz w:val="24"/>
          <w:szCs w:val="24"/>
          <w:lang w:val="zh-CN" w:eastAsia="zh-CN"/>
        </w:rPr>
      </w:pPr>
      <w:r>
        <w:rPr>
          <w:rFonts w:hint="eastAsia"/>
          <w:sz w:val="24"/>
          <w:szCs w:val="24"/>
          <w:lang w:val="zh-CN" w:eastAsia="zh-CN"/>
        </w:rPr>
        <w:t xml:space="preserve"> </w:t>
      </w:r>
      <w:r>
        <w:rPr>
          <w:sz w:val="24"/>
          <w:szCs w:val="24"/>
          <w:lang w:val="en-US" w:eastAsia="zh-CN"/>
        </w:rPr>
        <w:t xml:space="preserve">  </w:t>
      </w:r>
      <w:r w:rsidRPr="0062263B">
        <w:rPr>
          <w:sz w:val="24"/>
          <w:szCs w:val="24"/>
          <w:lang w:val="zh-CN" w:eastAsia="zh-CN"/>
        </w:rPr>
        <w:t>扩大与关于汞的水</w:t>
      </w:r>
      <w:proofErr w:type="gramStart"/>
      <w:r w:rsidRPr="0062263B">
        <w:rPr>
          <w:sz w:val="24"/>
          <w:szCs w:val="24"/>
          <w:lang w:val="zh-CN" w:eastAsia="zh-CN"/>
        </w:rPr>
        <w:t>俣</w:t>
      </w:r>
      <w:proofErr w:type="gramEnd"/>
      <w:r w:rsidRPr="0062263B">
        <w:rPr>
          <w:sz w:val="24"/>
          <w:szCs w:val="24"/>
          <w:lang w:val="zh-CN" w:eastAsia="zh-CN"/>
        </w:rPr>
        <w:t>公约秘书处的协作，就现有信息交换机制系统的使用交流信息并分享经验和最佳做法；</w:t>
      </w:r>
    </w:p>
    <w:p w:rsidR="00244A85" w:rsidRPr="0062263B" w:rsidRDefault="00244A85" w:rsidP="00244A85">
      <w:pPr>
        <w:numPr>
          <w:ilvl w:val="0"/>
          <w:numId w:val="3"/>
        </w:numPr>
        <w:tabs>
          <w:tab w:val="clear" w:pos="1247"/>
          <w:tab w:val="clear" w:pos="1814"/>
          <w:tab w:val="clear" w:pos="2381"/>
          <w:tab w:val="clear" w:pos="2948"/>
          <w:tab w:val="clear" w:pos="3215"/>
          <w:tab w:val="clear" w:pos="3515"/>
          <w:tab w:val="left" w:pos="624"/>
          <w:tab w:val="left" w:pos="2160"/>
        </w:tabs>
        <w:autoSpaceDE w:val="0"/>
        <w:autoSpaceDN w:val="0"/>
        <w:snapToGrid w:val="0"/>
        <w:spacing w:line="240" w:lineRule="auto"/>
        <w:ind w:left="1260" w:firstLine="540"/>
        <w:rPr>
          <w:sz w:val="24"/>
        </w:rPr>
      </w:pPr>
      <w:r>
        <w:rPr>
          <w:rFonts w:eastAsia="KaiTi" w:hint="eastAsia"/>
          <w:sz w:val="24"/>
          <w:lang w:val="zh-CN"/>
        </w:rPr>
        <w:t xml:space="preserve"> </w:t>
      </w:r>
      <w:r>
        <w:rPr>
          <w:rFonts w:eastAsia="KaiTi"/>
          <w:sz w:val="24"/>
        </w:rPr>
        <w:t xml:space="preserve">   </w:t>
      </w:r>
      <w:r w:rsidRPr="0062263B">
        <w:rPr>
          <w:rFonts w:eastAsia="KaiTi"/>
          <w:sz w:val="24"/>
          <w:lang w:val="zh-CN"/>
        </w:rPr>
        <w:t>邀请</w:t>
      </w:r>
      <w:r w:rsidRPr="0062263B">
        <w:rPr>
          <w:sz w:val="24"/>
          <w:lang w:val="zh-CN"/>
        </w:rPr>
        <w:t>缔约方和观察员根据本决定，酌情参与制定联合信息交换机制战略，并参与工作计划的相关活动；</w:t>
      </w:r>
    </w:p>
    <w:p w:rsidR="00F935A6" w:rsidRPr="00244A85" w:rsidRDefault="00244A85" w:rsidP="00244A85">
      <w:pPr>
        <w:numPr>
          <w:ilvl w:val="0"/>
          <w:numId w:val="3"/>
        </w:numPr>
        <w:tabs>
          <w:tab w:val="clear" w:pos="1247"/>
          <w:tab w:val="clear" w:pos="1814"/>
          <w:tab w:val="clear" w:pos="2381"/>
          <w:tab w:val="clear" w:pos="2948"/>
          <w:tab w:val="clear" w:pos="3215"/>
          <w:tab w:val="clear" w:pos="3515"/>
          <w:tab w:val="left" w:pos="624"/>
          <w:tab w:val="left" w:pos="2160"/>
        </w:tabs>
        <w:autoSpaceDE w:val="0"/>
        <w:autoSpaceDN w:val="0"/>
        <w:snapToGrid w:val="0"/>
        <w:spacing w:line="240" w:lineRule="auto"/>
        <w:ind w:left="1260" w:firstLine="540"/>
        <w:rPr>
          <w:lang w:val="en-GB"/>
        </w:rPr>
      </w:pPr>
      <w:r w:rsidRPr="00244A85">
        <w:rPr>
          <w:rFonts w:eastAsia="KaiTi" w:hint="eastAsia"/>
          <w:sz w:val="24"/>
          <w:lang w:val="zh-CN"/>
        </w:rPr>
        <w:t xml:space="preserve"> </w:t>
      </w:r>
      <w:r w:rsidRPr="00244A85">
        <w:rPr>
          <w:rFonts w:eastAsia="KaiTi"/>
          <w:sz w:val="24"/>
        </w:rPr>
        <w:t xml:space="preserve">   </w:t>
      </w:r>
      <w:r w:rsidRPr="00244A85">
        <w:rPr>
          <w:rFonts w:eastAsia="KaiTi"/>
          <w:sz w:val="24"/>
          <w:lang w:val="zh-CN"/>
        </w:rPr>
        <w:t>请</w:t>
      </w:r>
      <w:r w:rsidRPr="00244A85">
        <w:rPr>
          <w:sz w:val="24"/>
          <w:lang w:val="zh-CN"/>
        </w:rPr>
        <w:t>秘书处定期审查这一战略，以考虑到与关于</w:t>
      </w:r>
      <w:r w:rsidRPr="00244A85">
        <w:rPr>
          <w:sz w:val="24"/>
          <w:lang w:val="zh-CN"/>
        </w:rPr>
        <w:t>2020</w:t>
      </w:r>
      <w:r w:rsidRPr="00244A85">
        <w:rPr>
          <w:sz w:val="24"/>
          <w:lang w:val="zh-CN"/>
        </w:rPr>
        <w:t>年后化学品和废物健全管理的多部门和</w:t>
      </w:r>
      <w:proofErr w:type="gramStart"/>
      <w:r w:rsidRPr="00244A85">
        <w:rPr>
          <w:sz w:val="24"/>
          <w:lang w:val="zh-CN"/>
        </w:rPr>
        <w:t>多利益</w:t>
      </w:r>
      <w:proofErr w:type="gramEnd"/>
      <w:r w:rsidRPr="00244A85">
        <w:rPr>
          <w:sz w:val="24"/>
          <w:lang w:val="zh-CN"/>
        </w:rPr>
        <w:t>攸关方讨论等事项有关的经验教训和相关进展。</w:t>
      </w:r>
      <w:bookmarkStart w:id="0" w:name="_GoBack"/>
      <w:bookmarkEnd w:id="0"/>
    </w:p>
    <w:sectPr w:rsidR="00F935A6" w:rsidRPr="00244A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037" w:rsidRDefault="00AD6037" w:rsidP="00244A85">
      <w:pPr>
        <w:spacing w:after="0" w:line="240" w:lineRule="auto"/>
      </w:pPr>
      <w:r>
        <w:separator/>
      </w:r>
    </w:p>
  </w:endnote>
  <w:endnote w:type="continuationSeparator" w:id="0">
    <w:p w:rsidR="00AD6037" w:rsidRDefault="00AD6037" w:rsidP="0024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037" w:rsidRDefault="00AD6037" w:rsidP="00244A85">
      <w:pPr>
        <w:spacing w:after="0" w:line="240" w:lineRule="auto"/>
      </w:pPr>
      <w:r>
        <w:separator/>
      </w:r>
    </w:p>
  </w:footnote>
  <w:footnote w:type="continuationSeparator" w:id="0">
    <w:p w:rsidR="00AD6037" w:rsidRDefault="00AD6037" w:rsidP="00244A85">
      <w:pPr>
        <w:spacing w:after="0" w:line="240" w:lineRule="auto"/>
      </w:pPr>
      <w:r>
        <w:continuationSeparator/>
      </w:r>
    </w:p>
  </w:footnote>
  <w:footnote w:id="1">
    <w:p w:rsidR="00244A85" w:rsidRPr="00A27BF1" w:rsidRDefault="00244A85" w:rsidP="00244A85">
      <w:pPr>
        <w:pStyle w:val="FootnoteText"/>
        <w:tabs>
          <w:tab w:val="clear" w:pos="1247"/>
          <w:tab w:val="left" w:pos="1260"/>
        </w:tabs>
        <w:spacing w:after="40" w:line="240" w:lineRule="auto"/>
        <w:ind w:left="1260" w:firstLine="0"/>
        <w:rPr>
          <w:spacing w:val="0"/>
          <w:w w:val="100"/>
          <w:kern w:val="0"/>
          <w:sz w:val="20"/>
        </w:rPr>
      </w:pPr>
      <w:r w:rsidRPr="00A27BF1">
        <w:rPr>
          <w:rStyle w:val="FootnoteReference"/>
          <w:spacing w:val="0"/>
          <w:w w:val="100"/>
          <w:kern w:val="0"/>
        </w:rPr>
        <w:t>1</w:t>
      </w:r>
      <w:r w:rsidRPr="00A27BF1">
        <w:rPr>
          <w:spacing w:val="0"/>
          <w:w w:val="100"/>
          <w:kern w:val="0"/>
          <w:sz w:val="20"/>
        </w:rPr>
        <w:t xml:space="preserve"> UNEP/CHW.14/INF/39-UNEP/FAO/RC/COP.9/INF/32-UNEP/POPS/COP.9/INF/41</w:t>
      </w:r>
      <w:r w:rsidRPr="00A27BF1">
        <w:rPr>
          <w:spacing w:val="0"/>
          <w:w w:val="100"/>
          <w:kern w:val="0"/>
          <w:sz w:val="20"/>
          <w:lang w:val="zh-CN"/>
        </w:rPr>
        <w:t>。</w:t>
      </w:r>
    </w:p>
  </w:footnote>
  <w:footnote w:id="2">
    <w:p w:rsidR="00244A85" w:rsidRDefault="00244A85" w:rsidP="00244A85">
      <w:pPr>
        <w:pStyle w:val="FootnoteText"/>
        <w:tabs>
          <w:tab w:val="clear" w:pos="1247"/>
          <w:tab w:val="left" w:pos="1260"/>
        </w:tabs>
        <w:spacing w:after="40" w:line="240" w:lineRule="auto"/>
        <w:ind w:left="1260" w:firstLine="0"/>
      </w:pPr>
      <w:r w:rsidRPr="00A27BF1">
        <w:rPr>
          <w:rStyle w:val="FootnoteReference"/>
          <w:spacing w:val="0"/>
          <w:w w:val="100"/>
          <w:kern w:val="0"/>
        </w:rPr>
        <w:t>2</w:t>
      </w:r>
      <w:r w:rsidRPr="00A27BF1">
        <w:rPr>
          <w:spacing w:val="0"/>
          <w:w w:val="100"/>
          <w:kern w:val="0"/>
          <w:sz w:val="20"/>
        </w:rPr>
        <w:t xml:space="preserve"> UNEP/CHW.13/INF/47-UNEP/FAO/RC/COP.8/INF/33-UNEP/POPS/COP.8/INF/50</w:t>
      </w:r>
      <w:r w:rsidRPr="00A27BF1">
        <w:rPr>
          <w:spacing w:val="0"/>
          <w:w w:val="100"/>
          <w:kern w:val="0"/>
          <w:sz w:val="20"/>
          <w:lang w:val="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6A4D"/>
    <w:multiLevelType w:val="hybridMultilevel"/>
    <w:tmpl w:val="D1762344"/>
    <w:lvl w:ilvl="0" w:tplc="4BC8A4B8">
      <w:start w:val="1"/>
      <w:numFmt w:val="lowerLetter"/>
      <w:lvlText w:val="(%1)"/>
      <w:lvlJc w:val="left"/>
      <w:pPr>
        <w:ind w:left="720" w:hanging="360"/>
      </w:pPr>
      <w:rPr>
        <w:rFonts w:ascii="Times New Roman" w:eastAsiaTheme="minorEastAsia"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932D5"/>
    <w:multiLevelType w:val="hybridMultilevel"/>
    <w:tmpl w:val="D1762344"/>
    <w:lvl w:ilvl="0" w:tplc="4BC8A4B8">
      <w:start w:val="1"/>
      <w:numFmt w:val="lowerLetter"/>
      <w:lvlText w:val="(%1)"/>
      <w:lvlJc w:val="left"/>
      <w:pPr>
        <w:ind w:left="720" w:hanging="360"/>
      </w:pPr>
      <w:rPr>
        <w:rFonts w:ascii="Times New Roman" w:eastAsiaTheme="minorEastAsia"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A6812"/>
    <w:multiLevelType w:val="hybridMultilevel"/>
    <w:tmpl w:val="556A2B0A"/>
    <w:lvl w:ilvl="0" w:tplc="7C925E08">
      <w:start w:val="1"/>
      <w:numFmt w:val="decimal"/>
      <w:lvlText w:val="%1."/>
      <w:lvlJc w:val="left"/>
      <w:pPr>
        <w:tabs>
          <w:tab w:val="num" w:pos="3215"/>
        </w:tabs>
        <w:ind w:left="3215" w:hanging="360"/>
      </w:pPr>
      <w:rPr>
        <w:rFonts w:ascii="Times New Roman" w:hAnsi="Times New Roman" w:cs="Times New Roman" w:hint="default"/>
        <w:sz w:val="24"/>
        <w:szCs w:val="24"/>
      </w:rPr>
    </w:lvl>
    <w:lvl w:ilvl="1" w:tplc="04090019">
      <w:start w:val="1"/>
      <w:numFmt w:val="lowerLetter"/>
      <w:lvlText w:val="%2."/>
      <w:lvlJc w:val="left"/>
      <w:pPr>
        <w:tabs>
          <w:tab w:val="num" w:pos="3935"/>
        </w:tabs>
        <w:ind w:left="3935" w:hanging="360"/>
      </w:pPr>
    </w:lvl>
    <w:lvl w:ilvl="2" w:tplc="0409001B">
      <w:start w:val="1"/>
      <w:numFmt w:val="lowerRoman"/>
      <w:lvlText w:val="%3."/>
      <w:lvlJc w:val="right"/>
      <w:pPr>
        <w:tabs>
          <w:tab w:val="num" w:pos="4655"/>
        </w:tabs>
        <w:ind w:left="4655" w:hanging="180"/>
      </w:pPr>
    </w:lvl>
    <w:lvl w:ilvl="3" w:tplc="0409000F">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3" w15:restartNumberingAfterBreak="0">
    <w:nsid w:val="4B1E02F0"/>
    <w:multiLevelType w:val="hybridMultilevel"/>
    <w:tmpl w:val="DB723F7A"/>
    <w:lvl w:ilvl="0" w:tplc="0409000F">
      <w:start w:val="1"/>
      <w:numFmt w:val="decimal"/>
      <w:lvlText w:val="%1."/>
      <w:lvlJc w:val="left"/>
      <w:pPr>
        <w:tabs>
          <w:tab w:val="num" w:pos="3215"/>
        </w:tabs>
        <w:ind w:left="3215" w:hanging="360"/>
      </w:p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4" w15:restartNumberingAfterBreak="0">
    <w:nsid w:val="7F774376"/>
    <w:multiLevelType w:val="hybridMultilevel"/>
    <w:tmpl w:val="93F477C4"/>
    <w:lvl w:ilvl="0" w:tplc="B032D95A">
      <w:start w:val="1"/>
      <w:numFmt w:val="lowerLetter"/>
      <w:lvlText w:val="(%1)"/>
      <w:lvlJc w:val="left"/>
      <w:pPr>
        <w:ind w:left="3575" w:hanging="360"/>
      </w:pPr>
      <w:rPr>
        <w:rFonts w:hint="default"/>
      </w:rPr>
    </w:lvl>
    <w:lvl w:ilvl="1" w:tplc="08090019" w:tentative="1">
      <w:start w:val="1"/>
      <w:numFmt w:val="lowerLetter"/>
      <w:lvlText w:val="%2."/>
      <w:lvlJc w:val="left"/>
      <w:pPr>
        <w:ind w:left="4295" w:hanging="360"/>
      </w:pPr>
    </w:lvl>
    <w:lvl w:ilvl="2" w:tplc="0809001B" w:tentative="1">
      <w:start w:val="1"/>
      <w:numFmt w:val="lowerRoman"/>
      <w:lvlText w:val="%3."/>
      <w:lvlJc w:val="right"/>
      <w:pPr>
        <w:ind w:left="5015" w:hanging="180"/>
      </w:pPr>
    </w:lvl>
    <w:lvl w:ilvl="3" w:tplc="0809000F" w:tentative="1">
      <w:start w:val="1"/>
      <w:numFmt w:val="decimal"/>
      <w:lvlText w:val="%4."/>
      <w:lvlJc w:val="left"/>
      <w:pPr>
        <w:ind w:left="5735" w:hanging="360"/>
      </w:pPr>
    </w:lvl>
    <w:lvl w:ilvl="4" w:tplc="08090019" w:tentative="1">
      <w:start w:val="1"/>
      <w:numFmt w:val="lowerLetter"/>
      <w:lvlText w:val="%5."/>
      <w:lvlJc w:val="left"/>
      <w:pPr>
        <w:ind w:left="6455" w:hanging="360"/>
      </w:pPr>
    </w:lvl>
    <w:lvl w:ilvl="5" w:tplc="0809001B" w:tentative="1">
      <w:start w:val="1"/>
      <w:numFmt w:val="lowerRoman"/>
      <w:lvlText w:val="%6."/>
      <w:lvlJc w:val="right"/>
      <w:pPr>
        <w:ind w:left="7175" w:hanging="180"/>
      </w:pPr>
    </w:lvl>
    <w:lvl w:ilvl="6" w:tplc="0809000F" w:tentative="1">
      <w:start w:val="1"/>
      <w:numFmt w:val="decimal"/>
      <w:lvlText w:val="%7."/>
      <w:lvlJc w:val="left"/>
      <w:pPr>
        <w:ind w:left="7895" w:hanging="360"/>
      </w:pPr>
    </w:lvl>
    <w:lvl w:ilvl="7" w:tplc="08090019" w:tentative="1">
      <w:start w:val="1"/>
      <w:numFmt w:val="lowerLetter"/>
      <w:lvlText w:val="%8."/>
      <w:lvlJc w:val="left"/>
      <w:pPr>
        <w:ind w:left="8615" w:hanging="360"/>
      </w:pPr>
    </w:lvl>
    <w:lvl w:ilvl="8" w:tplc="0809001B" w:tentative="1">
      <w:start w:val="1"/>
      <w:numFmt w:val="lowerRoman"/>
      <w:lvlText w:val="%9."/>
      <w:lvlJc w:val="right"/>
      <w:pPr>
        <w:ind w:left="9335" w:hanging="180"/>
      </w:pPr>
    </w:lvl>
  </w:abstractNum>
  <w:num w:numId="1">
    <w:abstractNumId w:val="3"/>
    <w:lvlOverride w:ilvl="3">
      <w:lvl w:ilvl="3" w:tplc="0409000F">
        <w:start w:val="1"/>
        <w:numFmt w:val="decimal"/>
        <w:lvlText w:val="%4."/>
        <w:lvlJc w:val="left"/>
        <w:pPr>
          <w:tabs>
            <w:tab w:val="num" w:pos="5375"/>
          </w:tabs>
          <w:ind w:left="5375" w:hanging="360"/>
        </w:pPr>
      </w:lvl>
    </w:lvlOverride>
  </w:num>
  <w:num w:numId="2">
    <w:abstractNumId w:val="0"/>
    <w:lvlOverride w:ilvl="0">
      <w:lvl w:ilvl="0" w:tplc="4BC8A4B8">
        <w:start w:val="1"/>
        <w:numFmt w:val="lowerLetter"/>
        <w:lvlText w:val="(%1)"/>
        <w:lvlJc w:val="left"/>
        <w:pPr>
          <w:ind w:left="720" w:hanging="360"/>
        </w:pPr>
        <w:rPr>
          <w:rFonts w:ascii="Times New Roman" w:eastAsiaTheme="minorEastAsia" w:hAnsi="Times New Roman" w:cstheme="minorBidi"/>
        </w:rPr>
      </w:lvl>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CE"/>
    <w:rsid w:val="00244A85"/>
    <w:rsid w:val="00A567CE"/>
    <w:rsid w:val="00AD6037"/>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4A40F-4B95-4DDB-B002-773ED2DA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7CE"/>
    <w:pPr>
      <w:tabs>
        <w:tab w:val="left" w:pos="1247"/>
        <w:tab w:val="left" w:pos="1814"/>
        <w:tab w:val="left" w:pos="2381"/>
        <w:tab w:val="left" w:pos="2948"/>
        <w:tab w:val="left" w:pos="3515"/>
      </w:tabs>
      <w:spacing w:after="120" w:line="280" w:lineRule="exact"/>
      <w:jc w:val="both"/>
    </w:pPr>
    <w:rPr>
      <w:rFonts w:ascii="Times New Roman" w:eastAsia="SimSun" w:hAnsi="Times New Roman" w:cs="Times New Roman"/>
      <w:sz w:val="21"/>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A567CE"/>
    <w:pPr>
      <w:keepNext/>
      <w:keepLines/>
      <w:tabs>
        <w:tab w:val="right" w:pos="851"/>
        <w:tab w:val="left" w:pos="4082"/>
      </w:tabs>
      <w:suppressAutoHyphens/>
      <w:spacing w:before="240" w:line="240" w:lineRule="auto"/>
      <w:ind w:left="1247" w:right="284" w:hanging="1247"/>
      <w:jc w:val="left"/>
    </w:pPr>
    <w:rPr>
      <w:b/>
      <w:sz w:val="28"/>
      <w:szCs w:val="28"/>
      <w:lang w:val="en-GB" w:eastAsia="en-GB"/>
    </w:rPr>
  </w:style>
  <w:style w:type="paragraph" w:customStyle="1" w:styleId="Normal-pool">
    <w:name w:val="Normal-pool"/>
    <w:link w:val="Normal-poolChar"/>
    <w:qFormat/>
    <w:rsid w:val="00A567CE"/>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GB"/>
    </w:rPr>
  </w:style>
  <w:style w:type="character" w:customStyle="1" w:styleId="Normal-poolChar">
    <w:name w:val="Normal-pool Char"/>
    <w:link w:val="Normal-pool"/>
    <w:rsid w:val="00A567CE"/>
    <w:rPr>
      <w:rFonts w:ascii="Times New Roman" w:eastAsia="SimSun" w:hAnsi="Times New Roman" w:cs="Times New Roman"/>
      <w:sz w:val="20"/>
      <w:szCs w:val="20"/>
      <w:lang w:val="en-GB" w:eastAsia="en-GB"/>
    </w:rPr>
  </w:style>
  <w:style w:type="paragraph" w:customStyle="1" w:styleId="Normalpool">
    <w:name w:val="Normal_pool"/>
    <w:link w:val="NormalpoolChar"/>
    <w:rsid w:val="00244A85"/>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fr-FR" w:eastAsia="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symbol"/>
    <w:basedOn w:val="DefaultParagraphFont"/>
    <w:link w:val="BVIfnrCharCharCharChar"/>
    <w:qFormat/>
    <w:rsid w:val="00244A85"/>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
    <w:link w:val="FootnoteTextChar"/>
    <w:qFormat/>
    <w:rsid w:val="00244A85"/>
    <w:pPr>
      <w:spacing w:before="20" w:after="0" w:line="210" w:lineRule="exact"/>
      <w:ind w:left="475" w:hanging="475"/>
      <w:jc w:val="left"/>
    </w:pPr>
    <w:rPr>
      <w:noProof/>
      <w:spacing w:val="5"/>
      <w:w w:val="104"/>
      <w:kern w:val="14"/>
      <w:sz w:val="18"/>
      <w:szCs w:val="20"/>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244A85"/>
    <w:rPr>
      <w:rFonts w:ascii="Times New Roman" w:eastAsia="SimSun" w:hAnsi="Times New Roman" w:cs="Times New Roman"/>
      <w:noProof/>
      <w:spacing w:val="5"/>
      <w:w w:val="104"/>
      <w:kern w:val="14"/>
      <w:sz w:val="18"/>
      <w:szCs w:val="20"/>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rsid w:val="00244A85"/>
    <w:pPr>
      <w:tabs>
        <w:tab w:val="clear" w:pos="1247"/>
        <w:tab w:val="clear" w:pos="1814"/>
        <w:tab w:val="clear" w:pos="2381"/>
        <w:tab w:val="clear" w:pos="2948"/>
        <w:tab w:val="clear" w:pos="3515"/>
      </w:tabs>
      <w:spacing w:before="120" w:after="160" w:line="240" w:lineRule="exact"/>
    </w:pPr>
    <w:rPr>
      <w:rFonts w:cstheme="minorBidi"/>
      <w:color w:val="000000"/>
      <w:spacing w:val="-5"/>
      <w:w w:val="130"/>
      <w:position w:val="-4"/>
      <w:sz w:val="20"/>
      <w:szCs w:val="18"/>
      <w:vertAlign w:val="superscript"/>
    </w:rPr>
  </w:style>
  <w:style w:type="character" w:customStyle="1" w:styleId="NormalpoolChar">
    <w:name w:val="Normal_pool Char"/>
    <w:link w:val="Normalpool"/>
    <w:rsid w:val="00244A85"/>
    <w:rPr>
      <w:rFonts w:ascii="Times New Roman" w:eastAsia="SimSu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2020-01-16T14:38:00Z</dcterms:created>
  <dcterms:modified xsi:type="dcterms:W3CDTF">2020-01-16T14:38:00Z</dcterms:modified>
</cp:coreProperties>
</file>