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6B5" w:rsidRPr="0042029E" w:rsidRDefault="008046B5" w:rsidP="008046B5">
      <w:pPr>
        <w:pStyle w:val="Normalnumber"/>
        <w:tabs>
          <w:tab w:val="clear" w:pos="624"/>
          <w:tab w:val="clear" w:pos="1134"/>
        </w:tabs>
        <w:bidi/>
        <w:spacing w:line="400" w:lineRule="exact"/>
        <w:ind w:left="1134"/>
        <w:jc w:val="both"/>
        <w:rPr>
          <w:rFonts w:cs="Traditional Arabic"/>
          <w:b/>
          <w:bCs/>
          <w:sz w:val="22"/>
          <w:szCs w:val="32"/>
          <w:rtl/>
          <w:lang w:eastAsia="zh-TW"/>
        </w:rPr>
      </w:pPr>
      <w:r w:rsidRPr="0042029E">
        <w:rPr>
          <w:rFonts w:cs="Traditional Arabic"/>
          <w:b/>
          <w:bCs/>
          <w:sz w:val="22"/>
          <w:szCs w:val="32"/>
          <w:rtl/>
          <w:lang w:eastAsia="zh-TW"/>
        </w:rPr>
        <w:t>ا</w:t>
      </w:r>
      <w:r>
        <w:rPr>
          <w:rFonts w:cs="Traditional Arabic"/>
          <w:b/>
          <w:bCs/>
          <w:sz w:val="22"/>
          <w:szCs w:val="32"/>
          <w:rtl/>
          <w:lang w:eastAsia="zh-TW"/>
        </w:rPr>
        <w:t xml:space="preserve"> </w:t>
      </w:r>
      <w:r w:rsidRPr="0042029E">
        <w:rPr>
          <w:rFonts w:cs="Traditional Arabic"/>
          <w:b/>
          <w:bCs/>
          <w:sz w:val="22"/>
          <w:szCs w:val="32"/>
          <w:rtl/>
          <w:lang w:eastAsia="zh-TW"/>
        </w:rPr>
        <w:t>س-9/1</w:t>
      </w:r>
      <w:r>
        <w:rPr>
          <w:rFonts w:cs="Traditional Arabic"/>
          <w:b/>
          <w:bCs/>
          <w:sz w:val="22"/>
          <w:szCs w:val="32"/>
          <w:rtl/>
          <w:lang w:eastAsia="zh-TW"/>
        </w:rPr>
        <w:t xml:space="preserve">: </w:t>
      </w:r>
      <w:r w:rsidRPr="0042029E">
        <w:rPr>
          <w:rFonts w:cs="Traditional Arabic"/>
          <w:b/>
          <w:bCs/>
          <w:sz w:val="22"/>
          <w:szCs w:val="32"/>
          <w:rtl/>
          <w:lang w:eastAsia="zh-TW"/>
        </w:rPr>
        <w:t>الإعفاءات</w:t>
      </w:r>
    </w:p>
    <w:p w:rsidR="008046B5" w:rsidRPr="0042029E" w:rsidRDefault="008046B5" w:rsidP="008046B5">
      <w:pPr>
        <w:pStyle w:val="Normalnumber"/>
        <w:tabs>
          <w:tab w:val="clear" w:pos="1134"/>
        </w:tabs>
        <w:bidi/>
        <w:spacing w:line="400" w:lineRule="exact"/>
        <w:ind w:left="1133" w:firstLine="709"/>
        <w:jc w:val="both"/>
        <w:rPr>
          <w:rFonts w:ascii="Traditional Arabic" w:hAnsi="Traditional Arabic" w:cs="Traditional Arabic"/>
          <w:sz w:val="30"/>
          <w:szCs w:val="30"/>
          <w:rtl/>
          <w:lang w:val="fr-FR"/>
        </w:rPr>
      </w:pPr>
      <w:r w:rsidRPr="0042029E">
        <w:rPr>
          <w:rFonts w:ascii="Traditional Arabic" w:hAnsi="Traditional Arabic" w:cs="Traditional Arabic"/>
          <w:i/>
          <w:iCs/>
          <w:sz w:val="30"/>
          <w:szCs w:val="30"/>
          <w:rtl/>
          <w:lang w:val="fr-FR"/>
        </w:rPr>
        <w:t>إن</w:t>
      </w:r>
      <w:r>
        <w:rPr>
          <w:rFonts w:ascii="Traditional Arabic" w:hAnsi="Traditional Arabic" w:cs="Traditional Arabic"/>
          <w:i/>
          <w:iCs/>
          <w:sz w:val="30"/>
          <w:szCs w:val="30"/>
          <w:rtl/>
          <w:lang w:val="fr-FR"/>
        </w:rPr>
        <w:t xml:space="preserve"> </w:t>
      </w:r>
      <w:r w:rsidRPr="0042029E">
        <w:rPr>
          <w:rFonts w:ascii="Traditional Arabic" w:hAnsi="Traditional Arabic" w:cs="Traditional Arabic"/>
          <w:i/>
          <w:iCs/>
          <w:sz w:val="30"/>
          <w:szCs w:val="30"/>
          <w:rtl/>
          <w:lang w:val="fr-FR"/>
        </w:rPr>
        <w:t>مؤتمر</w:t>
      </w:r>
      <w:r>
        <w:rPr>
          <w:rFonts w:ascii="Traditional Arabic" w:hAnsi="Traditional Arabic" w:cs="Traditional Arabic"/>
          <w:i/>
          <w:iCs/>
          <w:sz w:val="30"/>
          <w:szCs w:val="30"/>
          <w:rtl/>
          <w:lang w:val="fr-FR"/>
        </w:rPr>
        <w:t xml:space="preserve"> </w:t>
      </w:r>
      <w:r w:rsidRPr="0042029E">
        <w:rPr>
          <w:rFonts w:ascii="Traditional Arabic" w:hAnsi="Traditional Arabic" w:cs="Traditional Arabic"/>
          <w:i/>
          <w:iCs/>
          <w:sz w:val="30"/>
          <w:szCs w:val="30"/>
          <w:rtl/>
          <w:lang w:val="fr-FR"/>
        </w:rPr>
        <w:t>الأطراف،</w:t>
      </w:r>
    </w:p>
    <w:p w:rsidR="008046B5" w:rsidRPr="0042029E" w:rsidRDefault="008046B5" w:rsidP="008046B5">
      <w:pPr>
        <w:numPr>
          <w:ilvl w:val="0"/>
          <w:numId w:val="1"/>
        </w:numPr>
        <w:tabs>
          <w:tab w:val="clear" w:pos="1247"/>
          <w:tab w:val="clear" w:pos="1814"/>
          <w:tab w:val="clear" w:pos="2381"/>
          <w:tab w:val="clear" w:pos="2948"/>
          <w:tab w:val="clear" w:pos="3515"/>
          <w:tab w:val="left" w:pos="2409"/>
        </w:tabs>
        <w:bidi/>
        <w:spacing w:after="120" w:line="400" w:lineRule="exact"/>
        <w:ind w:left="1134" w:firstLine="708"/>
        <w:jc w:val="both"/>
        <w:rPr>
          <w:rFonts w:ascii="Traditional Arabic" w:hAnsi="Traditional Arabic" w:cs="Traditional Arabic"/>
          <w:bCs/>
          <w:sz w:val="30"/>
          <w:szCs w:val="30"/>
          <w:rtl/>
          <w:lang w:val="fr-FR"/>
        </w:rPr>
      </w:pPr>
      <w:bookmarkStart w:id="0" w:name="_Hlk528919662"/>
      <w:r w:rsidRPr="0042029E">
        <w:rPr>
          <w:rFonts w:ascii="Traditional Arabic" w:hAnsi="Traditional Arabic" w:cs="Traditional Arabic"/>
          <w:i/>
          <w:iCs/>
          <w:sz w:val="30"/>
          <w:szCs w:val="30"/>
          <w:rtl/>
          <w:lang w:val="fr-FR"/>
        </w:rPr>
        <w:t>يلاحظ</w:t>
      </w:r>
      <w:r w:rsidRPr="0042029E">
        <w:rPr>
          <w:rFonts w:ascii="Traditional Arabic" w:hAnsi="Traditional Arabic" w:cs="Traditional Arabic"/>
          <w:sz w:val="30"/>
          <w:szCs w:val="30"/>
          <w:rtl/>
          <w:lang w:val="fr-FR"/>
        </w:rPr>
        <w:t>،</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عملاً</w:t>
      </w:r>
      <w:r>
        <w:rPr>
          <w:rFonts w:ascii="Traditional Arabic" w:hAnsi="Traditional Arabic" w:cs="Traditional Arabic"/>
          <w:sz w:val="30"/>
          <w:szCs w:val="30"/>
          <w:rtl/>
          <w:lang w:val="fr-FR"/>
        </w:rPr>
        <w:t xml:space="preserve"> </w:t>
      </w:r>
      <w:r w:rsidRPr="0042029E">
        <w:rPr>
          <w:rFonts w:cs="Traditional Arabic"/>
          <w:sz w:val="30"/>
          <w:szCs w:val="30"/>
          <w:rtl/>
        </w:rPr>
        <w:t>بالفقرة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من</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المادة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٤</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من</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اتفاقية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استكهولم</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بشأن</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الملوثات</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العضوية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الثابتة،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أنه</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لم</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يعد</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هناك</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أي</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طرف</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مسجل</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للإعفاءات</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المحددة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لاستخدام</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المواد</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الكيميائية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التالية،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وبالتالي</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لن</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يُسمح</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بأي</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تسجيلات</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جديدة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لها:</w:t>
      </w:r>
    </w:p>
    <w:p w:rsidR="008046B5" w:rsidRPr="00985533" w:rsidRDefault="008046B5" w:rsidP="008046B5">
      <w:pPr>
        <w:tabs>
          <w:tab w:val="clear" w:pos="1247"/>
          <w:tab w:val="clear" w:pos="1814"/>
          <w:tab w:val="clear" w:pos="2381"/>
          <w:tab w:val="clear" w:pos="2948"/>
          <w:tab w:val="clear" w:pos="3515"/>
          <w:tab w:val="left" w:pos="2976"/>
        </w:tabs>
        <w:bidi/>
        <w:spacing w:after="120" w:line="400" w:lineRule="exact"/>
        <w:ind w:left="1134" w:firstLine="1275"/>
        <w:jc w:val="both"/>
        <w:rPr>
          <w:rFonts w:ascii="Traditional Arabic" w:hAnsi="Traditional Arabic" w:cs="Traditional Arabic"/>
          <w:bCs/>
          <w:w w:val="92"/>
          <w:sz w:val="30"/>
          <w:szCs w:val="30"/>
          <w:rtl/>
          <w:lang w:val="fr-FR"/>
        </w:rPr>
      </w:pPr>
      <w:r w:rsidRPr="00985533">
        <w:rPr>
          <w:rFonts w:ascii="Traditional Arabic" w:hAnsi="Traditional Arabic" w:cs="Traditional Arabic"/>
          <w:w w:val="92"/>
          <w:sz w:val="30"/>
          <w:szCs w:val="30"/>
          <w:rtl/>
          <w:lang w:val="fr-FR"/>
        </w:rPr>
        <w:t>(أ)</w:t>
      </w:r>
      <w:r w:rsidRPr="00985533">
        <w:rPr>
          <w:rFonts w:ascii="Traditional Arabic" w:hAnsi="Traditional Arabic" w:cs="Traditional Arabic"/>
          <w:w w:val="92"/>
          <w:sz w:val="30"/>
          <w:szCs w:val="30"/>
          <w:rtl/>
          <w:lang w:val="fr-FR"/>
        </w:rPr>
        <w:tab/>
        <w:t>الليندان للاستخدام كمنتج صيدلاني للبشر لمكافحة قمل الرأس والجرب كعلاج في المرحلة الثانية؛</w:t>
      </w:r>
    </w:p>
    <w:p w:rsidR="008046B5" w:rsidRPr="0042029E" w:rsidRDefault="008046B5" w:rsidP="008046B5">
      <w:pPr>
        <w:tabs>
          <w:tab w:val="clear" w:pos="1247"/>
          <w:tab w:val="clear" w:pos="1814"/>
          <w:tab w:val="clear" w:pos="2381"/>
          <w:tab w:val="clear" w:pos="2948"/>
          <w:tab w:val="clear" w:pos="3515"/>
          <w:tab w:val="left" w:pos="2976"/>
        </w:tabs>
        <w:bidi/>
        <w:spacing w:after="120" w:line="400" w:lineRule="exact"/>
        <w:ind w:left="1134" w:firstLine="1275"/>
        <w:jc w:val="both"/>
        <w:rPr>
          <w:rFonts w:ascii="Traditional Arabic" w:hAnsi="Traditional Arabic" w:cs="Traditional Arabic"/>
          <w:sz w:val="30"/>
          <w:szCs w:val="30"/>
          <w:rtl/>
          <w:lang w:val="fr-FR"/>
        </w:rPr>
      </w:pPr>
      <w:r w:rsidRPr="0042029E">
        <w:rPr>
          <w:rFonts w:ascii="Traditional Arabic" w:hAnsi="Traditional Arabic" w:cs="Traditional Arabic"/>
          <w:sz w:val="30"/>
          <w:szCs w:val="30"/>
          <w:rtl/>
          <w:lang w:val="fr-FR"/>
        </w:rPr>
        <w:t>(ب)</w:t>
      </w:r>
      <w:r w:rsidRPr="0042029E">
        <w:rPr>
          <w:rFonts w:ascii="Traditional Arabic" w:hAnsi="Traditional Arabic" w:cs="Traditional Arabic"/>
          <w:sz w:val="30"/>
          <w:szCs w:val="30"/>
          <w:rtl/>
          <w:lang w:val="fr-FR"/>
        </w:rPr>
        <w:tab/>
        <w:t>حمض</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السلفونيك</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w:t>
      </w:r>
      <w:r>
        <w:rPr>
          <w:rFonts w:ascii="Traditional Arabic" w:hAnsi="Traditional Arabic" w:cs="Traditional Arabic"/>
          <w:sz w:val="30"/>
          <w:szCs w:val="30"/>
          <w:rtl/>
          <w:lang w:val="fr-FR"/>
        </w:rPr>
        <w:t>بيرف</w:t>
      </w:r>
      <w:r w:rsidRPr="0042029E">
        <w:rPr>
          <w:rFonts w:ascii="Traditional Arabic" w:hAnsi="Traditional Arabic" w:cs="Traditional Arabic"/>
          <w:sz w:val="30"/>
          <w:szCs w:val="30"/>
          <w:rtl/>
          <w:lang w:val="fr-FR"/>
        </w:rPr>
        <w:t>لوروكتاني</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وأملاحه</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وفلوريد</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السلفونيل</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w:t>
      </w:r>
      <w:r>
        <w:rPr>
          <w:rFonts w:ascii="Traditional Arabic" w:hAnsi="Traditional Arabic" w:cs="Traditional Arabic"/>
          <w:sz w:val="30"/>
          <w:szCs w:val="30"/>
          <w:rtl/>
          <w:lang w:val="fr-FR"/>
        </w:rPr>
        <w:t>بيرف</w:t>
      </w:r>
      <w:r w:rsidRPr="0042029E">
        <w:rPr>
          <w:rFonts w:ascii="Traditional Arabic" w:hAnsi="Traditional Arabic" w:cs="Traditional Arabic"/>
          <w:sz w:val="30"/>
          <w:szCs w:val="30"/>
          <w:rtl/>
          <w:lang w:val="fr-FR"/>
        </w:rPr>
        <w:t>لوروكتاني</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في</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التطبيقات</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التالية: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الأقنعة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الضوئية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في</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صناعات</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أشباه</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المواصلات</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وشاشات</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السائل</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البلوري؛</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والطلاء</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المعدني</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(الطلاء</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المعدني</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الصلد)؛</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والطلاء</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المعدني</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(الطلاء</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الزخرفي)؛</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والقطع</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الكهربائية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والإلكترونية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لبعض</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الطابعات</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الملونة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والناسخات</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الملونة؛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والمبيدات</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الحشرية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لمكافحة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النمل</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الناري</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الأحمر</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الدخيل</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والنمل</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الأبيض؛</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وإنتاج</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الزيوت</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المستحث</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كيميائياً؛</w:t>
      </w:r>
    </w:p>
    <w:bookmarkEnd w:id="0"/>
    <w:p w:rsidR="008046B5" w:rsidRPr="0042029E" w:rsidRDefault="008046B5" w:rsidP="008046B5">
      <w:pPr>
        <w:numPr>
          <w:ilvl w:val="0"/>
          <w:numId w:val="1"/>
        </w:numPr>
        <w:tabs>
          <w:tab w:val="clear" w:pos="1247"/>
          <w:tab w:val="clear" w:pos="1814"/>
          <w:tab w:val="clear" w:pos="2381"/>
          <w:tab w:val="clear" w:pos="2948"/>
          <w:tab w:val="clear" w:pos="3515"/>
          <w:tab w:val="left" w:pos="2409"/>
        </w:tabs>
        <w:bidi/>
        <w:spacing w:after="120" w:line="400" w:lineRule="exact"/>
        <w:ind w:left="1134" w:firstLine="708"/>
        <w:jc w:val="both"/>
        <w:rPr>
          <w:rFonts w:ascii="Traditional Arabic" w:hAnsi="Traditional Arabic" w:cs="Traditional Arabic"/>
          <w:sz w:val="30"/>
          <w:szCs w:val="30"/>
          <w:rtl/>
          <w:lang w:val="fr-FR"/>
        </w:rPr>
      </w:pPr>
      <w:r w:rsidRPr="0042029E">
        <w:rPr>
          <w:rFonts w:ascii="Traditional Arabic" w:hAnsi="Traditional Arabic" w:cs="Traditional Arabic"/>
          <w:i/>
          <w:iCs/>
          <w:sz w:val="30"/>
          <w:szCs w:val="30"/>
          <w:rtl/>
          <w:lang w:val="fr-FR"/>
        </w:rPr>
        <w:t>يقرر</w:t>
      </w:r>
      <w:r w:rsidRPr="0042029E">
        <w:rPr>
          <w:rFonts w:ascii="Traditional Arabic" w:hAnsi="Traditional Arabic" w:cs="Traditional Arabic"/>
          <w:sz w:val="30"/>
          <w:szCs w:val="30"/>
          <w:rtl/>
          <w:lang w:val="fr-FR"/>
        </w:rPr>
        <w:t>،</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في</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ضوء</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المقرر</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س-9/11،</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الذي</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عدل</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بموجبه</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المرفق</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ألف</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لاتفاقية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استكهولم</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لإدراج</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الدايكوفول</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فيه،</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وعملاً</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بالملاحظة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’3‘</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من</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المرفق</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باء،</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أن</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الإخطارات</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المتعلقة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بإنتاج</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واستخدام</w:t>
      </w:r>
      <w:r>
        <w:rPr>
          <w:rFonts w:ascii="Traditional Arabic" w:hAnsi="Traditional Arabic" w:cs="Traditional Arabic"/>
          <w:sz w:val="30"/>
          <w:szCs w:val="30"/>
          <w:rtl/>
          <w:lang w:val="fr-FR"/>
        </w:rPr>
        <w:t xml:space="preserve"> </w:t>
      </w:r>
      <w:r w:rsidRPr="0042029E">
        <w:rPr>
          <w:rFonts w:cs="Traditional Arabic"/>
          <w:szCs w:val="30"/>
          <w:rtl/>
        </w:rPr>
        <w:t>الدايكوفول</w:t>
      </w:r>
      <w:r>
        <w:rPr>
          <w:rFonts w:cs="Traditional Arabic"/>
          <w:szCs w:val="30"/>
          <w:rtl/>
        </w:rPr>
        <w:t xml:space="preserve"> </w:t>
      </w:r>
      <w:r w:rsidRPr="0042029E">
        <w:rPr>
          <w:rFonts w:cs="Traditional Arabic"/>
          <w:szCs w:val="30"/>
          <w:rtl/>
        </w:rPr>
        <w:t>كوسيط</w:t>
      </w:r>
      <w:r>
        <w:rPr>
          <w:rFonts w:cs="Traditional Arabic"/>
          <w:szCs w:val="30"/>
          <w:rtl/>
        </w:rPr>
        <w:t xml:space="preserve"> </w:t>
      </w:r>
      <w:r w:rsidRPr="0042029E">
        <w:rPr>
          <w:rFonts w:cs="Traditional Arabic"/>
          <w:szCs w:val="30"/>
          <w:rtl/>
        </w:rPr>
        <w:t>محدد</w:t>
      </w:r>
      <w:r>
        <w:rPr>
          <w:rFonts w:cs="Traditional Arabic"/>
          <w:szCs w:val="30"/>
          <w:rtl/>
        </w:rPr>
        <w:t xml:space="preserve"> </w:t>
      </w:r>
      <w:r w:rsidRPr="0042029E">
        <w:rPr>
          <w:rFonts w:cs="Traditional Arabic"/>
          <w:szCs w:val="30"/>
          <w:rtl/>
        </w:rPr>
        <w:t>الموقع</w:t>
      </w:r>
      <w:r>
        <w:rPr>
          <w:rFonts w:cs="Traditional Arabic"/>
          <w:szCs w:val="30"/>
          <w:rtl/>
        </w:rPr>
        <w:t xml:space="preserve"> </w:t>
      </w:r>
      <w:r w:rsidRPr="0042029E">
        <w:rPr>
          <w:rFonts w:cs="Traditional Arabic"/>
          <w:szCs w:val="30"/>
          <w:rtl/>
        </w:rPr>
        <w:t>ضمن</w:t>
      </w:r>
      <w:r>
        <w:rPr>
          <w:rFonts w:cs="Traditional Arabic"/>
          <w:szCs w:val="30"/>
          <w:rtl/>
        </w:rPr>
        <w:t xml:space="preserve"> </w:t>
      </w:r>
      <w:r w:rsidRPr="0042029E">
        <w:rPr>
          <w:rFonts w:cs="Traditional Arabic"/>
          <w:szCs w:val="30"/>
          <w:rtl/>
        </w:rPr>
        <w:t>نظام</w:t>
      </w:r>
      <w:r>
        <w:rPr>
          <w:rFonts w:cs="Traditional Arabic"/>
          <w:szCs w:val="30"/>
          <w:rtl/>
        </w:rPr>
        <w:t xml:space="preserve"> </w:t>
      </w:r>
      <w:r w:rsidRPr="0042029E">
        <w:rPr>
          <w:rFonts w:cs="Traditional Arabic"/>
          <w:szCs w:val="30"/>
          <w:rtl/>
        </w:rPr>
        <w:t>مغلق</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لن</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تكون</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متاحة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بعد</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15</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كانون</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الأول/ديسمبر</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2020؛</w:t>
      </w:r>
    </w:p>
    <w:p w:rsidR="008046B5" w:rsidRPr="0042029E" w:rsidRDefault="008046B5" w:rsidP="008046B5">
      <w:pPr>
        <w:numPr>
          <w:ilvl w:val="0"/>
          <w:numId w:val="1"/>
        </w:numPr>
        <w:tabs>
          <w:tab w:val="clear" w:pos="1247"/>
          <w:tab w:val="clear" w:pos="1814"/>
          <w:tab w:val="clear" w:pos="2381"/>
          <w:tab w:val="clear" w:pos="2948"/>
          <w:tab w:val="clear" w:pos="3515"/>
          <w:tab w:val="left" w:pos="2409"/>
        </w:tabs>
        <w:bidi/>
        <w:spacing w:after="120" w:line="400" w:lineRule="exact"/>
        <w:ind w:left="1134" w:firstLine="708"/>
        <w:jc w:val="both"/>
        <w:rPr>
          <w:rFonts w:ascii="Traditional Arabic" w:hAnsi="Traditional Arabic" w:cs="Traditional Arabic"/>
          <w:sz w:val="30"/>
          <w:szCs w:val="30"/>
          <w:rtl/>
          <w:lang w:val="fr-FR"/>
        </w:rPr>
      </w:pPr>
      <w:r w:rsidRPr="0042029E">
        <w:rPr>
          <w:rFonts w:ascii="Traditional Arabic" w:hAnsi="Traditional Arabic" w:cs="Traditional Arabic"/>
          <w:i/>
          <w:iCs/>
          <w:sz w:val="30"/>
          <w:szCs w:val="30"/>
          <w:rtl/>
          <w:lang w:val="fr-FR"/>
        </w:rPr>
        <w:t>يُذكِّر</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الأطراف</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التي</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تود</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التسجيل</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من</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أجل</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إعفاءات</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محددة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أو</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أغراض</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مقبولة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متاحة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حالياً</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أو</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تقديم</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إخطارات</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بمواد</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كيميائية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تدخل</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في</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تركيب</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منتجات</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أو</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بإنتاج</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واستخدام</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المواد</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الكيميائية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كوسائط</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محددة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الموقع</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ضمن</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نظام</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مغلق،</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بأن</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تُخطر</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الأمانة،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مستعملةً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النماذج</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الخاصة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بذلك؛</w:t>
      </w:r>
      <w:r w:rsidRPr="0042029E">
        <w:rPr>
          <w:rFonts w:ascii="Traditional Arabic" w:hAnsi="Traditional Arabic" w:cs="Traditional Arabic"/>
          <w:sz w:val="30"/>
          <w:szCs w:val="30"/>
          <w:vertAlign w:val="superscript"/>
          <w:rtl/>
          <w:lang w:val="fr-FR"/>
        </w:rPr>
        <w:t>(</w:t>
      </w:r>
      <w:r w:rsidRPr="0042029E">
        <w:rPr>
          <w:rFonts w:ascii="Traditional Arabic" w:hAnsi="Traditional Arabic" w:cs="Traditional Arabic"/>
          <w:sz w:val="30"/>
          <w:szCs w:val="30"/>
          <w:vertAlign w:val="superscript"/>
          <w:rtl/>
          <w:lang w:val="fr-FR"/>
        </w:rPr>
        <w:footnoteReference w:id="1"/>
      </w:r>
      <w:r w:rsidRPr="0042029E">
        <w:rPr>
          <w:rFonts w:ascii="Traditional Arabic" w:hAnsi="Traditional Arabic" w:cs="Traditional Arabic"/>
          <w:sz w:val="30"/>
          <w:szCs w:val="30"/>
          <w:vertAlign w:val="superscript"/>
          <w:rtl/>
          <w:lang w:val="fr-FR"/>
        </w:rPr>
        <w:t>)</w:t>
      </w:r>
    </w:p>
    <w:p w:rsidR="008046B5" w:rsidRPr="0042029E" w:rsidRDefault="008046B5" w:rsidP="008046B5">
      <w:pPr>
        <w:numPr>
          <w:ilvl w:val="0"/>
          <w:numId w:val="1"/>
        </w:numPr>
        <w:tabs>
          <w:tab w:val="clear" w:pos="1247"/>
          <w:tab w:val="clear" w:pos="1814"/>
          <w:tab w:val="clear" w:pos="2381"/>
          <w:tab w:val="clear" w:pos="2948"/>
          <w:tab w:val="clear" w:pos="3515"/>
          <w:tab w:val="left" w:pos="2409"/>
        </w:tabs>
        <w:bidi/>
        <w:spacing w:after="120" w:line="400" w:lineRule="exact"/>
        <w:ind w:left="1134" w:firstLine="708"/>
        <w:jc w:val="both"/>
        <w:rPr>
          <w:rFonts w:ascii="Traditional Arabic" w:hAnsi="Traditional Arabic" w:cs="Traditional Arabic"/>
          <w:sz w:val="30"/>
          <w:szCs w:val="30"/>
          <w:rtl/>
          <w:lang w:val="fr-FR"/>
        </w:rPr>
      </w:pPr>
      <w:r w:rsidRPr="0042029E">
        <w:rPr>
          <w:rFonts w:ascii="Traditional Arabic" w:hAnsi="Traditional Arabic" w:cs="Traditional Arabic"/>
          <w:i/>
          <w:iCs/>
          <w:sz w:val="30"/>
          <w:szCs w:val="30"/>
          <w:rtl/>
          <w:lang w:val="fr-FR"/>
        </w:rPr>
        <w:t>يطلب</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إلى</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الأمانة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مواصلة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تعهد</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وتحديث</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وإتاحة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النماذج</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والسجلات</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والمعلومات</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ذات</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الصلة،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حسب</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الاقتضاء؛</w:t>
      </w:r>
    </w:p>
    <w:p w:rsidR="008046B5" w:rsidRPr="0042029E" w:rsidRDefault="008046B5" w:rsidP="008046B5">
      <w:pPr>
        <w:numPr>
          <w:ilvl w:val="0"/>
          <w:numId w:val="1"/>
        </w:numPr>
        <w:tabs>
          <w:tab w:val="clear" w:pos="1247"/>
          <w:tab w:val="clear" w:pos="1814"/>
          <w:tab w:val="clear" w:pos="2381"/>
          <w:tab w:val="clear" w:pos="2948"/>
          <w:tab w:val="clear" w:pos="3515"/>
          <w:tab w:val="left" w:pos="2409"/>
        </w:tabs>
        <w:bidi/>
        <w:spacing w:after="120" w:line="400" w:lineRule="exact"/>
        <w:ind w:left="1134" w:firstLine="708"/>
        <w:jc w:val="both"/>
        <w:rPr>
          <w:rFonts w:ascii="Traditional Arabic" w:hAnsi="Traditional Arabic" w:cs="Traditional Arabic"/>
          <w:sz w:val="30"/>
          <w:szCs w:val="30"/>
          <w:rtl/>
          <w:lang w:val="fr-FR"/>
        </w:rPr>
      </w:pPr>
      <w:r w:rsidRPr="0042029E">
        <w:rPr>
          <w:rFonts w:ascii="Traditional Arabic" w:hAnsi="Traditional Arabic" w:cs="Traditional Arabic"/>
          <w:i/>
          <w:iCs/>
          <w:sz w:val="30"/>
          <w:szCs w:val="30"/>
          <w:rtl/>
          <w:lang w:val="fr-FR"/>
        </w:rPr>
        <w:t>يشير</w:t>
      </w:r>
      <w:r>
        <w:rPr>
          <w:rFonts w:ascii="Traditional Arabic" w:hAnsi="Traditional Arabic" w:cs="Traditional Arabic"/>
          <w:i/>
          <w:iCs/>
          <w:sz w:val="30"/>
          <w:szCs w:val="30"/>
          <w:rtl/>
          <w:lang w:val="fr-FR"/>
        </w:rPr>
        <w:t xml:space="preserve"> </w:t>
      </w:r>
      <w:r w:rsidRPr="0042029E">
        <w:rPr>
          <w:rFonts w:ascii="Traditional Arabic" w:hAnsi="Traditional Arabic" w:cs="Traditional Arabic"/>
          <w:sz w:val="30"/>
          <w:szCs w:val="30"/>
          <w:rtl/>
          <w:lang w:val="fr-FR"/>
        </w:rPr>
        <w:t>إلى</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المقررين</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س-8/13</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و</w:t>
      </w:r>
      <w:r>
        <w:rPr>
          <w:rFonts w:ascii="Traditional Arabic" w:hAnsi="Traditional Arabic" w:cs="Traditional Arabic"/>
          <w:sz w:val="16"/>
          <w:szCs w:val="16"/>
          <w:rtl/>
          <w:lang w:val="fr-FR"/>
        </w:rPr>
        <w:t xml:space="preserve"> </w:t>
      </w:r>
      <w:r w:rsidRPr="0042029E">
        <w:rPr>
          <w:rFonts w:ascii="Traditional Arabic" w:hAnsi="Traditional Arabic" w:cs="Traditional Arabic"/>
          <w:sz w:val="30"/>
          <w:szCs w:val="30"/>
          <w:rtl/>
          <w:lang w:val="fr-FR"/>
        </w:rPr>
        <w:t>ا</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س-8/14،</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ويدعو</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الأطراف</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إلى</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أن</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تقدم</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إلى</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الأمانة،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بحلول</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٣١</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كانون</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الأول/ديسمبر</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٢٠١٩،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معلومات</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عن</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الإيثر</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الثنائي</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الفينيل</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العشاري</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البروم</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والبرافينات</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المكلورة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القصيرة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السلسلة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على</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النحو</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المحدد</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في</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المقررين،</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ويطلب</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إلى</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الأمانة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أن</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تواصل</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دعم</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العمليات</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الخاصة</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بكل</w:t>
      </w:r>
      <w:r>
        <w:rPr>
          <w:rFonts w:ascii="Traditional Arabic" w:hAnsi="Traditional Arabic" w:cs="Traditional Arabic"/>
          <w:sz w:val="30"/>
          <w:szCs w:val="30"/>
          <w:rtl/>
          <w:lang w:val="fr-FR"/>
        </w:rPr>
        <w:t xml:space="preserve"> </w:t>
      </w:r>
      <w:r w:rsidRPr="0042029E">
        <w:rPr>
          <w:rFonts w:ascii="Traditional Arabic" w:hAnsi="Traditional Arabic" w:cs="Traditional Arabic"/>
          <w:sz w:val="30"/>
          <w:szCs w:val="30"/>
          <w:rtl/>
          <w:lang w:val="fr-FR"/>
        </w:rPr>
        <w:t>منهما؛</w:t>
      </w:r>
    </w:p>
    <w:p w:rsidR="00F935A6" w:rsidRPr="008046B5" w:rsidRDefault="008046B5" w:rsidP="008046B5">
      <w:pPr>
        <w:numPr>
          <w:ilvl w:val="0"/>
          <w:numId w:val="1"/>
        </w:numPr>
        <w:tabs>
          <w:tab w:val="clear" w:pos="1247"/>
          <w:tab w:val="clear" w:pos="1814"/>
          <w:tab w:val="clear" w:pos="2381"/>
          <w:tab w:val="clear" w:pos="2948"/>
          <w:tab w:val="clear" w:pos="3515"/>
          <w:tab w:val="left" w:pos="2409"/>
        </w:tabs>
        <w:bidi/>
        <w:spacing w:after="120" w:line="400" w:lineRule="exact"/>
        <w:ind w:left="1134" w:firstLine="708"/>
        <w:jc w:val="both"/>
        <w:rPr>
          <w:lang w:val="fr-FR"/>
        </w:rPr>
      </w:pPr>
      <w:r w:rsidRPr="008046B5">
        <w:rPr>
          <w:rFonts w:ascii="Traditional Arabic" w:hAnsi="Traditional Arabic" w:cs="Traditional Arabic"/>
          <w:i/>
          <w:iCs/>
          <w:sz w:val="30"/>
          <w:szCs w:val="30"/>
          <w:rtl/>
          <w:lang w:val="fr-FR"/>
        </w:rPr>
        <w:t xml:space="preserve">يشير أيضاً </w:t>
      </w:r>
      <w:r w:rsidRPr="008046B5">
        <w:rPr>
          <w:rFonts w:ascii="Traditional Arabic" w:hAnsi="Traditional Arabic" w:cs="Traditional Arabic"/>
          <w:sz w:val="30"/>
          <w:szCs w:val="30"/>
          <w:rtl/>
          <w:lang w:val="fr-FR"/>
        </w:rPr>
        <w:t>إلى المقرر ا س-٨/٤، ويدعو الأطراف إلى أن تقدم إلى الأمانة، بحلول ٣١ كانون الأول/ديسمبر ٢٠١٩، معلومات عن الإيثر الثنائي الفينيل السداسي البروم، والإيثر الثنائي الفينيل السباعي البروم، والإيثر الثنائي الفينيل الرباعي البروم، والإيثر الثنائي الفينيل الخماسي البروم، ويطلب إلى الأمانة أن تواصل دعم هذه العمليات.</w:t>
      </w:r>
      <w:bookmarkStart w:id="1" w:name="_GoBack"/>
      <w:bookmarkEnd w:id="1"/>
    </w:p>
    <w:sectPr w:rsidR="00F935A6" w:rsidRPr="008046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E52" w:rsidRDefault="00C06E52" w:rsidP="008046B5">
      <w:r>
        <w:separator/>
      </w:r>
    </w:p>
  </w:endnote>
  <w:endnote w:type="continuationSeparator" w:id="0">
    <w:p w:rsidR="00C06E52" w:rsidRDefault="00C06E52" w:rsidP="0080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aditional Arabic">
    <w:altName w:val="Traditional Arabic"/>
    <w:charset w:val="B2"/>
    <w:family w:val="roman"/>
    <w:pitch w:val="variable"/>
    <w:sig w:usb0="00002003" w:usb1="80000000" w:usb2="00000008" w:usb3="00000000" w:csb0="0000004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E52" w:rsidRDefault="00C06E52" w:rsidP="008046B5">
      <w:r>
        <w:separator/>
      </w:r>
    </w:p>
  </w:footnote>
  <w:footnote w:type="continuationSeparator" w:id="0">
    <w:p w:rsidR="00C06E52" w:rsidRDefault="00C06E52" w:rsidP="008046B5">
      <w:r>
        <w:continuationSeparator/>
      </w:r>
    </w:p>
  </w:footnote>
  <w:footnote w:id="1">
    <w:p w:rsidR="008046B5" w:rsidRPr="0042029E" w:rsidRDefault="008046B5" w:rsidP="008046B5">
      <w:pPr>
        <w:pStyle w:val="FootnoteText"/>
        <w:tabs>
          <w:tab w:val="clear" w:pos="1247"/>
          <w:tab w:val="clear" w:pos="1814"/>
          <w:tab w:val="clear" w:pos="2381"/>
          <w:tab w:val="clear" w:pos="2948"/>
        </w:tabs>
        <w:bidi/>
        <w:spacing w:before="0" w:line="280" w:lineRule="exact"/>
        <w:ind w:left="1134"/>
        <w:textDirection w:val="tbRlV"/>
        <w:rPr>
          <w:rFonts w:cs="Traditional Arabic"/>
          <w:szCs w:val="26"/>
          <w:rtl/>
        </w:rPr>
      </w:pPr>
      <w:r w:rsidRPr="0042029E">
        <w:rPr>
          <w:rFonts w:cs="Traditional Arabic"/>
          <w:szCs w:val="26"/>
          <w:rtl/>
        </w:rPr>
        <w:t>(</w:t>
      </w:r>
      <w:r w:rsidRPr="0042029E">
        <w:rPr>
          <w:rFonts w:cs="Traditional Arabic"/>
          <w:szCs w:val="26"/>
          <w:rtl/>
        </w:rPr>
        <w:footnoteRef/>
      </w:r>
      <w:r w:rsidRPr="0042029E">
        <w:rPr>
          <w:rFonts w:cs="Traditional Arabic"/>
          <w:szCs w:val="26"/>
          <w:rtl/>
        </w:rPr>
        <w:t>)</w:t>
      </w:r>
      <w:r w:rsidRPr="0042029E">
        <w:rPr>
          <w:rFonts w:cs="Traditional Arabic" w:hint="cs"/>
          <w:szCs w:val="26"/>
          <w:rtl/>
        </w:rPr>
        <w:t xml:space="preserve">  </w:t>
      </w:r>
      <w:r w:rsidRPr="0042029E">
        <w:rPr>
          <w:rFonts w:cs="Traditional Arabic"/>
          <w:szCs w:val="26"/>
          <w:rtl/>
        </w:rPr>
        <w:t>انظر:</w:t>
      </w:r>
      <w:r w:rsidRPr="0042029E">
        <w:rPr>
          <w:rFonts w:cs="Traditional Arabic" w:hint="cs"/>
          <w:szCs w:val="26"/>
          <w:rtl/>
        </w:rPr>
        <w:t xml:space="preserve"> </w:t>
      </w:r>
      <w:hyperlink r:id="rId1" w:history="1">
        <w:r w:rsidRPr="0042029E">
          <w:rPr>
            <w:szCs w:val="18"/>
          </w:rPr>
          <w:t>http://chm.pops.int/tabid/4646/Default.aspx</w:t>
        </w:r>
      </w:hyperlink>
      <w:r w:rsidRPr="0042029E">
        <w:rPr>
          <w:rFonts w:hint="cs"/>
          <w:szCs w:val="18"/>
          <w:rtl/>
        </w:rPr>
        <w:t xml:space="preserve"> </w:t>
      </w:r>
      <w:r w:rsidRPr="0042029E">
        <w:rPr>
          <w:rFonts w:cs="Traditional Arabic"/>
          <w:szCs w:val="26"/>
          <w:rtl/>
        </w:rPr>
        <w:t>و</w:t>
      </w:r>
      <w:r w:rsidRPr="0042029E">
        <w:rPr>
          <w:szCs w:val="18"/>
        </w:rPr>
        <w:t>http://chm.pops.int/tabid/4647/Default.aspx</w:t>
      </w:r>
      <w:r w:rsidRPr="0042029E">
        <w:rPr>
          <w:rFonts w:cs="Traditional Arabic" w:hint="cs"/>
          <w:szCs w:val="26"/>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F044C"/>
    <w:multiLevelType w:val="hybridMultilevel"/>
    <w:tmpl w:val="840E7202"/>
    <w:lvl w:ilvl="0" w:tplc="1C901E9E">
      <w:start w:val="1"/>
      <w:numFmt w:val="decimal"/>
      <w:lvlText w:val="%1 -"/>
      <w:lvlJc w:val="left"/>
      <w:pPr>
        <w:ind w:left="1854" w:hanging="360"/>
      </w:pPr>
      <w:rPr>
        <w:rFonts w:hint="default"/>
        <w:b/>
        <w:bCs w:val="0"/>
        <w:lang w:val="en-US"/>
      </w:rPr>
    </w:lvl>
    <w:lvl w:ilvl="1" w:tplc="9B0ED738">
      <w:start w:val="1"/>
      <w:numFmt w:val="arabicAlpha"/>
      <w:lvlText w:val="(%2)"/>
      <w:lvlJc w:val="left"/>
      <w:pPr>
        <w:ind w:left="2934" w:hanging="72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B5"/>
    <w:rsid w:val="008046B5"/>
    <w:rsid w:val="00C06E52"/>
    <w:rsid w:val="00F935A6"/>
    <w:rsid w:val="00FA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FEFFC-40CA-4B60-AE73-CB4BCB47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6B5"/>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FOOTNOTES,fn,single space,Footnote Text Rail EIS,ft,Char,footnote text,Footnotes,Footnote ak,fn cafc,Footnotes Char Char,Footnote Text Char Char,fn Char Char,footnote text Char Char Char Ch,DNV-FT,text,9"/>
    <w:basedOn w:val="Normal"/>
    <w:link w:val="FootnoteTextChar"/>
    <w:qFormat/>
    <w:rsid w:val="008046B5"/>
    <w:pPr>
      <w:tabs>
        <w:tab w:val="left" w:pos="4082"/>
      </w:tabs>
      <w:spacing w:before="20" w:after="40"/>
      <w:ind w:left="1247"/>
    </w:pPr>
    <w:rPr>
      <w:sz w:val="18"/>
      <w:lang w:val="fr-FR"/>
    </w:rPr>
  </w:style>
  <w:style w:type="character" w:customStyle="1" w:styleId="FootnoteTextChar">
    <w:name w:val="Footnote Text Char"/>
    <w:aliases w:val="Geneva 9 Char,Font: Geneva 9 Char,Boston 10 Char,f Char,FOOTNOTES Char,fn Char,single space Char,Footnote Text Rail EIS Char,ft Char,Char Char,footnote text Char,Footnotes Char,Footnote ak Char,fn cafc Char,Footnotes Char Char Char"/>
    <w:basedOn w:val="DefaultParagraphFont"/>
    <w:link w:val="FootnoteText"/>
    <w:rsid w:val="008046B5"/>
    <w:rPr>
      <w:rFonts w:ascii="Times New Roman" w:eastAsia="Times New Roman" w:hAnsi="Times New Roman" w:cs="Times New Roman"/>
      <w:sz w:val="18"/>
      <w:szCs w:val="20"/>
      <w:lang w:val="fr-FR" w:eastAsia="en-US"/>
    </w:rPr>
  </w:style>
  <w:style w:type="paragraph" w:customStyle="1" w:styleId="Normalnumber">
    <w:name w:val="Normal_number"/>
    <w:basedOn w:val="Normal"/>
    <w:link w:val="NormalnumberChar"/>
    <w:qFormat/>
    <w:rsid w:val="008046B5"/>
    <w:pPr>
      <w:tabs>
        <w:tab w:val="clear" w:pos="1247"/>
        <w:tab w:val="clear" w:pos="1814"/>
        <w:tab w:val="clear" w:pos="2381"/>
        <w:tab w:val="clear" w:pos="2948"/>
        <w:tab w:val="clear" w:pos="3515"/>
        <w:tab w:val="left" w:pos="624"/>
        <w:tab w:val="num" w:pos="1134"/>
      </w:tabs>
      <w:spacing w:after="120"/>
      <w:ind w:left="1247"/>
    </w:pPr>
  </w:style>
  <w:style w:type="character" w:customStyle="1" w:styleId="NormalnumberChar">
    <w:name w:val="Normal_number Char"/>
    <w:link w:val="Normalnumber"/>
    <w:locked/>
    <w:rsid w:val="008046B5"/>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chm.pops.int/tabid/4646/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1</cp:revision>
  <dcterms:created xsi:type="dcterms:W3CDTF">2020-01-16T08:31:00Z</dcterms:created>
  <dcterms:modified xsi:type="dcterms:W3CDTF">2020-01-16T08:31:00Z</dcterms:modified>
</cp:coreProperties>
</file>