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CC" w:rsidRPr="00BE6786" w:rsidRDefault="003358CC" w:rsidP="003358CC">
      <w:pPr>
        <w:pStyle w:val="paralevel1a"/>
        <w:rPr>
          <w:sz w:val="20"/>
          <w:szCs w:val="30"/>
          <w:rtl/>
        </w:rPr>
      </w:pPr>
      <w:r w:rsidRPr="00BE6786">
        <w:rPr>
          <w:rtl/>
        </w:rPr>
        <w:t>ا</w:t>
      </w:r>
      <w:r>
        <w:rPr>
          <w:rtl/>
        </w:rPr>
        <w:t xml:space="preserve"> </w:t>
      </w:r>
      <w:r w:rsidRPr="00BE6786">
        <w:rPr>
          <w:rtl/>
        </w:rPr>
        <w:t>س</w:t>
      </w:r>
      <w:r>
        <w:rPr>
          <w:rtl/>
        </w:rPr>
        <w:t xml:space="preserve"> </w:t>
      </w:r>
      <w:r w:rsidRPr="00BE6786">
        <w:rPr>
          <w:rtl/>
        </w:rPr>
        <w:t>-</w:t>
      </w:r>
      <w:r>
        <w:rPr>
          <w:rtl/>
        </w:rPr>
        <w:t xml:space="preserve"> </w:t>
      </w:r>
      <w:r w:rsidRPr="00BE6786">
        <w:rPr>
          <w:rtl/>
        </w:rPr>
        <w:t>8/25: الانتقال من العلم إلى العمل</w:t>
      </w:r>
    </w:p>
    <w:p w:rsidR="003358CC" w:rsidRPr="00BE6786" w:rsidRDefault="003358CC" w:rsidP="003358CC">
      <w:pPr>
        <w:tabs>
          <w:tab w:val="left" w:pos="2409"/>
          <w:tab w:val="left" w:pos="2976"/>
        </w:tabs>
        <w:spacing w:after="120" w:line="400" w:lineRule="exact"/>
        <w:ind w:left="1128" w:firstLine="714"/>
        <w:jc w:val="both"/>
        <w:rPr>
          <w:rFonts w:ascii="Traditional Arabic" w:hAnsi="Traditional Arabic" w:cs="Traditional Arabic"/>
          <w:sz w:val="30"/>
          <w:szCs w:val="30"/>
          <w:rtl/>
          <w:lang w:val="en-GB" w:bidi="ar-SA"/>
        </w:rPr>
      </w:pPr>
      <w:r w:rsidRPr="00BE6786">
        <w:rPr>
          <w:rFonts w:ascii="Traditional Arabic" w:hAnsi="Traditional Arabic" w:cs="Traditional Arabic"/>
          <w:i/>
          <w:iCs/>
          <w:sz w:val="30"/>
          <w:szCs w:val="30"/>
          <w:rtl/>
          <w:lang w:val="en-GB" w:bidi="ar-SA"/>
        </w:rPr>
        <w:t>إن مؤتمر الأطراف،</w:t>
      </w:r>
    </w:p>
    <w:p w:rsidR="003358CC" w:rsidRPr="00BE6786" w:rsidRDefault="003358CC" w:rsidP="003358CC">
      <w:pPr>
        <w:pStyle w:val="Normal-pool"/>
        <w:tabs>
          <w:tab w:val="clear" w:pos="1247"/>
          <w:tab w:val="clear" w:pos="1814"/>
          <w:tab w:val="clear" w:pos="2381"/>
          <w:tab w:val="clear" w:pos="2948"/>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1 -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يؤكد</w:t>
      </w:r>
      <w:r w:rsidRPr="00BE6786">
        <w:rPr>
          <w:rFonts w:ascii="Traditional Arabic" w:hAnsi="Traditional Arabic" w:cs="Traditional Arabic"/>
          <w:sz w:val="30"/>
          <w:szCs w:val="30"/>
          <w:rtl/>
          <w:lang w:eastAsia="zh-TW"/>
        </w:rPr>
        <w:t xml:space="preserve"> أن العمليات اللازمة موجودة لضمان العمل واتخاذ القرارات على أساس العلم في إطار اتفاقية بازل 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وذلك من خلال الهيئات الفرعية للمؤتمر وأفرقة الخبراء والآليات الأخرى المعنية التابعة له، بما في ذلك التعاون مع الشركاء الآخرين، ويرحب بعملها في هذا الصدد؛</w:t>
      </w:r>
    </w:p>
    <w:p w:rsidR="003358CC" w:rsidRPr="00BE6786" w:rsidRDefault="003358CC" w:rsidP="003358CC">
      <w:pPr>
        <w:pStyle w:val="Normal-pool"/>
        <w:tabs>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2 -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يشدد</w:t>
      </w:r>
      <w:r w:rsidRPr="00BE6786">
        <w:rPr>
          <w:rFonts w:ascii="Traditional Arabic" w:hAnsi="Traditional Arabic" w:cs="Traditional Arabic"/>
          <w:sz w:val="30"/>
          <w:szCs w:val="30"/>
          <w:rtl/>
          <w:lang w:eastAsia="zh-TW"/>
        </w:rPr>
        <w:t xml:space="preserve"> على أهمية وضرورة تعزيز التفاعل بين العلماء وصانعي السياسات وغيرهم من الجهات الفاعلة في عملية السياسات الرامية إلى تعزيز التبادل، وتطوير المعارف والمشاركة في بنائها بهدف اتخاذ قرارات أكثر استنارة لبلوغ أهداف الاتفاقيات؛</w:t>
      </w:r>
    </w:p>
    <w:p w:rsidR="003358CC" w:rsidRPr="00BE6786" w:rsidRDefault="003358CC" w:rsidP="003358CC">
      <w:pPr>
        <w:pStyle w:val="Normal-pool"/>
        <w:tabs>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3 -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يشجع</w:t>
      </w:r>
      <w:r w:rsidRPr="00BE6786">
        <w:rPr>
          <w:rFonts w:ascii="Traditional Arabic" w:hAnsi="Traditional Arabic" w:cs="Traditional Arabic"/>
          <w:sz w:val="30"/>
          <w:szCs w:val="30"/>
          <w:rtl/>
          <w:lang w:eastAsia="zh-TW"/>
        </w:rPr>
        <w:t xml:space="preserve"> الأطراف والجهات الأخرى صاحبة المصلحة على الشروع في اتخاذ القرارات والإجراءات القائمة على العلم لتنفيذ الاتفاقيات على الصعيد الوطني؛</w:t>
      </w:r>
    </w:p>
    <w:p w:rsidR="003358CC" w:rsidRPr="00BE6786" w:rsidRDefault="003358CC" w:rsidP="003358CC">
      <w:pPr>
        <w:pStyle w:val="Normal-pool"/>
        <w:tabs>
          <w:tab w:val="clear" w:pos="1247"/>
          <w:tab w:val="clear" w:pos="1814"/>
          <w:tab w:val="clear" w:pos="2381"/>
          <w:tab w:val="clear" w:pos="2948"/>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4 -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يحيط علماً</w:t>
      </w:r>
      <w:r w:rsidRPr="00BE6786">
        <w:rPr>
          <w:rFonts w:ascii="Traditional Arabic" w:hAnsi="Traditional Arabic" w:cs="Traditional Arabic"/>
          <w:sz w:val="30"/>
          <w:szCs w:val="30"/>
          <w:rtl/>
          <w:lang w:eastAsia="zh-TW"/>
        </w:rPr>
        <w:t xml:space="preserve"> بمشروع خريطة الطريق الذي وضعته الأمانة لزيادة إشراك الأطراف وغيرها من الجهات صاحبة المصلحة في الحوار المستنير لتعزيز اتخاذ الإجراءات القائمة على العلم لتنفيذ الاتفاقيات</w:t>
      </w:r>
      <w:r w:rsidRPr="00BE6786">
        <w:rPr>
          <w:rFonts w:ascii="Traditional Arabic" w:hAnsi="Traditional Arabic" w:cs="Traditional Arabic"/>
          <w:sz w:val="30"/>
          <w:szCs w:val="30"/>
          <w:vertAlign w:val="superscript"/>
          <w:rtl/>
          <w:lang w:eastAsia="zh-TW"/>
        </w:rPr>
        <w:t>(</w:t>
      </w:r>
      <w:r w:rsidRPr="00BE6786">
        <w:rPr>
          <w:rFonts w:ascii="Traditional Arabic" w:hAnsi="Traditional Arabic" w:cs="Traditional Arabic"/>
          <w:sz w:val="30"/>
          <w:szCs w:val="30"/>
          <w:vertAlign w:val="superscript"/>
          <w:rtl/>
          <w:lang w:eastAsia="zh-TW"/>
        </w:rPr>
        <w:footnoteReference w:id="1"/>
      </w:r>
      <w:r w:rsidRPr="00BE6786">
        <w:rPr>
          <w:rFonts w:ascii="Traditional Arabic" w:hAnsi="Traditional Arabic" w:cs="Traditional Arabic"/>
          <w:sz w:val="30"/>
          <w:szCs w:val="30"/>
          <w:vertAlign w:val="superscript"/>
          <w:rtl/>
          <w:lang w:eastAsia="zh-TW"/>
        </w:rPr>
        <w:t>)</w:t>
      </w:r>
      <w:r w:rsidRPr="00BE6786">
        <w:rPr>
          <w:rFonts w:ascii="Traditional Arabic" w:hAnsi="Traditional Arabic" w:cs="Traditional Arabic"/>
          <w:sz w:val="30"/>
          <w:szCs w:val="30"/>
          <w:rtl/>
          <w:lang w:eastAsia="zh-TW"/>
        </w:rPr>
        <w:t>؛</w:t>
      </w:r>
    </w:p>
    <w:p w:rsidR="003358CC" w:rsidRPr="00BE6786" w:rsidRDefault="003358CC" w:rsidP="003358CC">
      <w:pPr>
        <w:pStyle w:val="Normal-pool"/>
        <w:tabs>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5 -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يطلب</w:t>
      </w:r>
      <w:r w:rsidRPr="00BE6786">
        <w:rPr>
          <w:rFonts w:ascii="Traditional Arabic" w:hAnsi="Traditional Arabic" w:cs="Traditional Arabic"/>
          <w:sz w:val="30"/>
          <w:szCs w:val="30"/>
          <w:rtl/>
          <w:lang w:eastAsia="zh-TW"/>
        </w:rPr>
        <w:t xml:space="preserve"> إلى الأمانة، رهناً بتوافر الموارد، وبالتعاون مع المراكز الإقليمية حسب الاقتضاء، أن تضطلع بأنشطة بناء القدرات والتدريب من أجل دعم الأطراف في اتخاذ القرارات والإجراءات القائمة على العلم في تنفيذ اتفاقيات بازل وروتردام واستكهولم؛</w:t>
      </w:r>
    </w:p>
    <w:p w:rsidR="003358CC" w:rsidRPr="00BE6786" w:rsidRDefault="003358CC" w:rsidP="003358CC">
      <w:pPr>
        <w:pStyle w:val="Normal-pool"/>
        <w:tabs>
          <w:tab w:val="clear" w:pos="1247"/>
          <w:tab w:val="clear" w:pos="1814"/>
          <w:tab w:val="clear" w:pos="2381"/>
          <w:tab w:val="clear" w:pos="2948"/>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6 -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يرحب</w:t>
      </w:r>
      <w:r w:rsidRPr="00BE6786">
        <w:rPr>
          <w:rFonts w:ascii="Traditional Arabic" w:hAnsi="Traditional Arabic" w:cs="Traditional Arabic"/>
          <w:sz w:val="30"/>
          <w:szCs w:val="30"/>
          <w:rtl/>
          <w:lang w:eastAsia="zh-TW"/>
        </w:rPr>
        <w:t xml:space="preserve"> بالتقدم المحرز حتى الآن، ويطلب إلى الأمانة أن تنجز، بحلول ٣٠ أيلول/سبتمبر ٢٠١٧، المزيد من التنقيح لمشروع خريطة الطريق مع التركيز على الانتقال من الحوار المتعدد الأطراف إلى العمل على الصعيدين الوطني والإقليمي، مع تجنب الازدواجية والتعارض مع الآليات القائمة، ومع مراعاة الآراء التي أعربت عنها الأطراف خلال اجتماعات مؤتمرات الأطراف في الاتفاقيات الثلاث المعقودة في عام 2017؛</w:t>
      </w:r>
    </w:p>
    <w:p w:rsidR="003358CC" w:rsidRPr="00BE6786" w:rsidRDefault="003358CC" w:rsidP="003358CC">
      <w:pPr>
        <w:pStyle w:val="Normal-pool"/>
        <w:tabs>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7 -</w:t>
      </w:r>
      <w:r w:rsidRPr="00BE6786">
        <w:rPr>
          <w:rFonts w:ascii="Traditional Arabic" w:hAnsi="Traditional Arabic" w:cs="Traditional Arabic"/>
          <w:sz w:val="30"/>
          <w:szCs w:val="30"/>
          <w:rtl/>
          <w:lang w:eastAsia="zh-TW"/>
        </w:rPr>
        <w:tab/>
      </w:r>
      <w:r w:rsidRPr="00BE6786">
        <w:rPr>
          <w:rFonts w:ascii="Traditional Arabic" w:hAnsi="Traditional Arabic" w:cs="Traditional Arabic"/>
          <w:i/>
          <w:iCs/>
          <w:sz w:val="30"/>
          <w:szCs w:val="30"/>
          <w:rtl/>
          <w:lang w:eastAsia="zh-TW"/>
        </w:rPr>
        <w:t>يدعو</w:t>
      </w:r>
      <w:r w:rsidRPr="00BE6786">
        <w:rPr>
          <w:rFonts w:ascii="Traditional Arabic" w:hAnsi="Traditional Arabic" w:cs="Traditional Arabic"/>
          <w:sz w:val="30"/>
          <w:szCs w:val="30"/>
          <w:rtl/>
          <w:lang w:eastAsia="zh-TW"/>
        </w:rPr>
        <w:t xml:space="preserve"> الأطراف والجهات الأخرى إلى تقديم التعليقات بشأن خريطة الطريق التي خضعت لمزيد من التنقيح في موعد أقصاه ٢٨ شباط/فبراير ٢٠١٨؛</w:t>
      </w:r>
    </w:p>
    <w:p w:rsidR="003358CC" w:rsidRPr="00BE6786" w:rsidRDefault="003358CC" w:rsidP="003358CC">
      <w:pPr>
        <w:pStyle w:val="Normal-pool"/>
        <w:tabs>
          <w:tab w:val="left" w:pos="2409"/>
          <w:tab w:val="left" w:pos="2976"/>
        </w:tabs>
        <w:bidi/>
        <w:spacing w:after="120" w:line="400" w:lineRule="exact"/>
        <w:ind w:left="1128" w:firstLine="714"/>
        <w:jc w:val="both"/>
        <w:rPr>
          <w:rFonts w:ascii="Traditional Arabic" w:hAnsi="Traditional Arabic" w:cs="Traditional Arabic"/>
          <w:sz w:val="30"/>
          <w:szCs w:val="30"/>
          <w:rtl/>
          <w:lang w:eastAsia="zh-TW"/>
        </w:rPr>
      </w:pPr>
      <w:r w:rsidRPr="00BE6786">
        <w:rPr>
          <w:rFonts w:ascii="Traditional Arabic" w:hAnsi="Traditional Arabic" w:cs="Traditional Arabic"/>
          <w:sz w:val="30"/>
          <w:szCs w:val="30"/>
          <w:rtl/>
          <w:lang w:eastAsia="zh-TW"/>
        </w:rPr>
        <w:t>8 -</w:t>
      </w:r>
      <w:r w:rsidRPr="00BE6786">
        <w:rPr>
          <w:rFonts w:ascii="Traditional Arabic" w:hAnsi="Traditional Arabic" w:cs="Traditional Arabic"/>
          <w:sz w:val="30"/>
          <w:szCs w:val="30"/>
          <w:rtl/>
          <w:lang w:eastAsia="zh-TW"/>
        </w:rPr>
        <w:tab/>
      </w:r>
      <w:r w:rsidRPr="00ED4B30">
        <w:rPr>
          <w:rFonts w:ascii="Traditional Arabic" w:hAnsi="Traditional Arabic" w:cs="Traditional Arabic"/>
          <w:i/>
          <w:iCs/>
          <w:sz w:val="30"/>
          <w:szCs w:val="30"/>
          <w:rtl/>
          <w:lang w:eastAsia="zh-TW"/>
        </w:rPr>
        <w:t>يدعو</w:t>
      </w:r>
      <w:r w:rsidRPr="00BE6786">
        <w:rPr>
          <w:rFonts w:ascii="Traditional Arabic" w:hAnsi="Traditional Arabic" w:cs="Traditional Arabic"/>
          <w:sz w:val="30"/>
          <w:szCs w:val="30"/>
          <w:rtl/>
          <w:lang w:eastAsia="zh-TW"/>
        </w:rPr>
        <w:t xml:space="preserve"> الأطراف في اتفاقيات بازل وروتردام واستكهولم إلى أن ترشح، من خلال ممثليها لدى المكتب، أربعة خبراء على الأكثر لكل منطقة من مناطق الأمم المتحدة وفي موعد أقصاه ٣٠ حزيران/يونيه ٢٠١٧، لكي يساعدوا الأمانة في إدخال المزيد من التنقيحات على مشروع خريطة الطريق، عاملين بالوسائل </w:t>
      </w:r>
      <w:r w:rsidRPr="00BE6786">
        <w:rPr>
          <w:rFonts w:ascii="Traditional Arabic" w:hAnsi="Traditional Arabic" w:cs="Traditional Arabic"/>
          <w:sz w:val="30"/>
          <w:szCs w:val="30"/>
          <w:rtl/>
          <w:lang w:eastAsia="zh-TW"/>
        </w:rPr>
        <w:lastRenderedPageBreak/>
        <w:t>الإلكترونية، وتطلب إلى الأمانة العامة أن تعد مشروعاً نهائياً، مع التركيز على تعزيز الإجراءات القائمة على العلم على المستويين الوطني والإقليمي، ولا سيما فيما يتعلق بالفرع 4-2 والتذييل ١ من المشروع الحالي لخريطة الطريق</w:t>
      </w:r>
      <w:r w:rsidRPr="00BE6786">
        <w:rPr>
          <w:rFonts w:ascii="Traditional Arabic" w:hAnsi="Traditional Arabic" w:cs="Traditional Arabic"/>
          <w:sz w:val="30"/>
          <w:szCs w:val="30"/>
          <w:vertAlign w:val="superscript"/>
          <w:rtl/>
          <w:lang w:eastAsia="zh-TW"/>
        </w:rPr>
        <w:t>(</w:t>
      </w:r>
      <w:r w:rsidRPr="00BE6786">
        <w:rPr>
          <w:rFonts w:ascii="Traditional Arabic" w:hAnsi="Traditional Arabic" w:cs="Traditional Arabic"/>
          <w:sz w:val="30"/>
          <w:szCs w:val="30"/>
          <w:vertAlign w:val="superscript"/>
          <w:rtl/>
          <w:lang w:eastAsia="zh-TW"/>
        </w:rPr>
        <w:footnoteReference w:id="2"/>
      </w:r>
      <w:r w:rsidRPr="00BE6786">
        <w:rPr>
          <w:rFonts w:ascii="Traditional Arabic" w:hAnsi="Traditional Arabic" w:cs="Traditional Arabic"/>
          <w:sz w:val="30"/>
          <w:szCs w:val="30"/>
          <w:vertAlign w:val="superscript"/>
          <w:rtl/>
          <w:lang w:eastAsia="zh-TW"/>
        </w:rPr>
        <w:t>)</w:t>
      </w:r>
      <w:r w:rsidRPr="00BE6786">
        <w:rPr>
          <w:rFonts w:ascii="Traditional Arabic" w:hAnsi="Traditional Arabic" w:cs="Traditional Arabic"/>
          <w:sz w:val="30"/>
          <w:szCs w:val="30"/>
          <w:rtl/>
          <w:lang w:eastAsia="zh-TW"/>
        </w:rPr>
        <w:t>، لكي تنظر فيه مؤتمرات الأطراف في الاتفاقيات الثلاث في اجتماعاتها المقبلة؛</w:t>
      </w:r>
    </w:p>
    <w:p w:rsidR="00AF10EA" w:rsidRPr="003358CC" w:rsidRDefault="003358CC" w:rsidP="003358CC">
      <w:pPr>
        <w:pStyle w:val="Normal-pool"/>
        <w:tabs>
          <w:tab w:val="clear" w:pos="1247"/>
          <w:tab w:val="left" w:pos="2409"/>
          <w:tab w:val="left" w:pos="2976"/>
        </w:tabs>
        <w:bidi/>
        <w:spacing w:after="120" w:line="400" w:lineRule="exact"/>
        <w:ind w:left="1128" w:firstLine="714"/>
        <w:jc w:val="both"/>
        <w:rPr>
          <w:rFonts w:ascii="Traditional Arabic" w:hAnsi="Traditional Arabic" w:cs="Traditional Arabic"/>
          <w:sz w:val="30"/>
          <w:szCs w:val="30"/>
          <w:lang w:val="en-US"/>
        </w:rPr>
      </w:pPr>
      <w:r w:rsidRPr="00BE6786">
        <w:rPr>
          <w:rFonts w:ascii="Traditional Arabic" w:hAnsi="Traditional Arabic" w:cs="Traditional Arabic"/>
          <w:sz w:val="30"/>
          <w:szCs w:val="30"/>
          <w:rtl/>
          <w:lang w:eastAsia="zh-TW"/>
        </w:rPr>
        <w:t>9 -</w:t>
      </w:r>
      <w:r w:rsidRPr="00BE6786">
        <w:rPr>
          <w:rFonts w:ascii="Traditional Arabic" w:hAnsi="Traditional Arabic" w:cs="Traditional Arabic"/>
          <w:sz w:val="30"/>
          <w:szCs w:val="30"/>
          <w:lang w:eastAsia="zh-TW"/>
        </w:rPr>
        <w:tab/>
      </w:r>
      <w:r w:rsidRPr="00BE6786">
        <w:rPr>
          <w:rFonts w:ascii="Traditional Arabic" w:hAnsi="Traditional Arabic" w:cs="Traditional Arabic"/>
          <w:i/>
          <w:iCs/>
          <w:sz w:val="30"/>
          <w:szCs w:val="30"/>
          <w:rtl/>
        </w:rPr>
        <w:t>يطلب</w:t>
      </w:r>
      <w:r w:rsidRPr="00BE6786">
        <w:rPr>
          <w:rFonts w:ascii="Traditional Arabic" w:hAnsi="Traditional Arabic" w:cs="Traditional Arabic"/>
          <w:sz w:val="30"/>
          <w:szCs w:val="30"/>
          <w:rtl/>
        </w:rPr>
        <w:t xml:space="preserve"> إلى الأمانة أن تتعاون وتنسق مع برنامج الأمم المتحدة للبيئة وغيره من المنظمات والهيئات العلمية والجهات صاحبة المصلحة المعنية الأخرى من أجل تعزيز الصلة بين العلوم والسياسات وأن تقدم تقريراً عن تنفيذ هذا المقرر إلى مؤتمرات الأطراف في اجتماعاتها المنعقدة في عام 2019.</w:t>
      </w:r>
    </w:p>
    <w:sectPr w:rsidR="00AF10EA" w:rsidRPr="003358CC" w:rsidSect="00AF10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50" w:rsidRDefault="00941C50" w:rsidP="003358CC">
      <w:r>
        <w:separator/>
      </w:r>
    </w:p>
  </w:endnote>
  <w:endnote w:type="continuationSeparator" w:id="0">
    <w:p w:rsidR="00941C50" w:rsidRDefault="00941C50" w:rsidP="00335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50" w:rsidRDefault="00941C50" w:rsidP="003358CC">
      <w:r>
        <w:separator/>
      </w:r>
    </w:p>
  </w:footnote>
  <w:footnote w:type="continuationSeparator" w:id="0">
    <w:p w:rsidR="00941C50" w:rsidRDefault="00941C50" w:rsidP="003358CC">
      <w:r>
        <w:continuationSeparator/>
      </w:r>
    </w:p>
  </w:footnote>
  <w:footnote w:id="1">
    <w:p w:rsidR="003358CC" w:rsidRDefault="003358CC" w:rsidP="003358CC">
      <w:pPr>
        <w:pStyle w:val="FootnoteText"/>
        <w:tabs>
          <w:tab w:val="left" w:pos="496"/>
        </w:tabs>
        <w:spacing w:after="40" w:line="320" w:lineRule="exact"/>
        <w:ind w:left="1134"/>
        <w:rPr>
          <w:rFonts w:cs="Traditional Arabic"/>
          <w:szCs w:val="26"/>
          <w:rtl/>
        </w:rPr>
      </w:pPr>
      <w:r>
        <w:rPr>
          <w:rFonts w:cs="Traditional Arabic"/>
          <w:szCs w:val="26"/>
          <w:rtl/>
        </w:rPr>
        <w:t>(</w:t>
      </w:r>
      <w:r>
        <w:rPr>
          <w:rFonts w:cs="Traditional Arabic"/>
          <w:szCs w:val="26"/>
          <w:rtl/>
        </w:rPr>
        <w:footnoteRef/>
      </w:r>
      <w:r>
        <w:rPr>
          <w:rFonts w:cs="Traditional Arabic"/>
          <w:szCs w:val="26"/>
          <w:rtl/>
        </w:rPr>
        <w:t xml:space="preserve">)  </w:t>
      </w:r>
      <w:r>
        <w:rPr>
          <w:sz w:val="18"/>
          <w:szCs w:val="18"/>
        </w:rPr>
        <w:t>UNEP/CHW.13/INF/50-UNEP/FAO/RC/COP.8/INF/35-UNEP/POPS/COP.8/INF/52</w:t>
      </w:r>
      <w:r>
        <w:rPr>
          <w:rFonts w:cs="Traditional Arabic"/>
          <w:szCs w:val="26"/>
          <w:rtl/>
        </w:rPr>
        <w:t>، المرفق الأول.</w:t>
      </w:r>
    </w:p>
  </w:footnote>
  <w:footnote w:id="2">
    <w:p w:rsidR="003358CC" w:rsidRDefault="003358CC" w:rsidP="003358CC">
      <w:pPr>
        <w:pStyle w:val="FootnoteText"/>
        <w:tabs>
          <w:tab w:val="left" w:pos="496"/>
        </w:tabs>
        <w:spacing w:after="40" w:line="320" w:lineRule="exact"/>
        <w:ind w:left="1134"/>
        <w:rPr>
          <w:rFonts w:cs="Traditional Arabic"/>
          <w:szCs w:val="26"/>
          <w:rtl/>
        </w:rPr>
      </w:pPr>
      <w:r>
        <w:rPr>
          <w:rFonts w:cs="Traditional Arabic"/>
          <w:szCs w:val="26"/>
          <w:rtl/>
        </w:rPr>
        <w:t>(</w:t>
      </w:r>
      <w:r>
        <w:rPr>
          <w:rFonts w:cs="Traditional Arabic"/>
          <w:szCs w:val="26"/>
          <w:rtl/>
        </w:rPr>
        <w:footnoteRef/>
      </w:r>
      <w:r>
        <w:rPr>
          <w:rFonts w:cs="Traditional Arabic"/>
          <w:szCs w:val="26"/>
          <w:rtl/>
        </w:rPr>
        <w:t>)  المرجع نفسه.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358CC"/>
    <w:rsid w:val="003358CC"/>
    <w:rsid w:val="00941C50"/>
    <w:rsid w:val="00AF1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C"/>
    <w:pPr>
      <w:bidi/>
      <w:spacing w:after="0" w:line="240" w:lineRule="auto"/>
    </w:pPr>
    <w:rPr>
      <w:rFonts w:ascii="Times New Roman" w:eastAsia="Times New Roman" w:hAnsi="Times New Roman" w:cs="Simplified Arabic"/>
      <w:sz w:val="24"/>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 Text Char Char,Footnote Text Char Char Char Char,Footnote Text1,Footnote Text Char Char Char,93,single space,Footnote Text Rail EIS,ft,Char,footnote3,Footnotes,Footnote ak,fn cafc,Fußnote"/>
    <w:basedOn w:val="Normal"/>
    <w:link w:val="FootnoteTextChar"/>
    <w:qFormat/>
    <w:rsid w:val="003358CC"/>
    <w:rPr>
      <w:sz w:val="20"/>
      <w:szCs w:val="20"/>
    </w:rPr>
  </w:style>
  <w:style w:type="character" w:customStyle="1" w:styleId="FootnoteTextChar">
    <w:name w:val="Footnote Text Char"/>
    <w:aliases w:val="DNV-FT Char,Geneva 9 Char,Font: Geneva 9 Char,Boston 10 Char,f Char,Footnote Text Char Char Char1,Footnote Text Char Char Char Char Char,Footnote Text1 Char,Footnote Text Char Char Char Char1,93 Char,single space Char,ft Char"/>
    <w:basedOn w:val="DefaultParagraphFont"/>
    <w:link w:val="FootnoteText"/>
    <w:rsid w:val="003358CC"/>
    <w:rPr>
      <w:rFonts w:ascii="Times New Roman" w:eastAsia="Times New Roman" w:hAnsi="Times New Roman" w:cs="Simplified Arabic"/>
      <w:sz w:val="20"/>
      <w:szCs w:val="20"/>
      <w:lang w:bidi="ar-EG"/>
    </w:rPr>
  </w:style>
  <w:style w:type="paragraph" w:customStyle="1" w:styleId="Normal-pool">
    <w:name w:val="Normal-pool"/>
    <w:link w:val="Normal-poolChar"/>
    <w:rsid w:val="003358C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3358CC"/>
    <w:rPr>
      <w:rFonts w:ascii="Times New Roman" w:eastAsia="Times New Roman" w:hAnsi="Times New Roman" w:cs="Times New Roman"/>
      <w:sz w:val="20"/>
      <w:szCs w:val="20"/>
      <w:lang w:val="en-GB"/>
    </w:rPr>
  </w:style>
  <w:style w:type="paragraph" w:customStyle="1" w:styleId="paralevel1a">
    <w:name w:val="para level 1a"/>
    <w:basedOn w:val="Normal"/>
    <w:autoRedefine/>
    <w:rsid w:val="003358CC"/>
    <w:pPr>
      <w:suppressAutoHyphens/>
      <w:spacing w:after="240" w:line="400" w:lineRule="exact"/>
      <w:ind w:left="1134"/>
      <w:jc w:val="both"/>
    </w:pPr>
    <w:rPr>
      <w:rFonts w:cs="Traditional Arabic"/>
      <w:b/>
      <w:bCs/>
      <w:sz w:val="32"/>
      <w:szCs w:val="32"/>
      <w:lang w:val="en-GB"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BRS</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2018-02-08T13:16:00Z</dcterms:created>
  <dcterms:modified xsi:type="dcterms:W3CDTF">2018-02-08T13:16:00Z</dcterms:modified>
</cp:coreProperties>
</file>