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Ind w:w="-176" w:type="dxa"/>
        <w:tblLayout w:type="fixed"/>
        <w:tblLook w:val="04A0" w:firstRow="1" w:lastRow="0" w:firstColumn="1" w:lastColumn="0" w:noHBand="0" w:noVBand="1"/>
      </w:tblPr>
      <w:tblGrid>
        <w:gridCol w:w="1502"/>
        <w:gridCol w:w="1843"/>
        <w:gridCol w:w="484"/>
        <w:gridCol w:w="2828"/>
        <w:gridCol w:w="198"/>
        <w:gridCol w:w="2429"/>
        <w:gridCol w:w="851"/>
      </w:tblGrid>
      <w:tr w:rsidR="00A0523F" w:rsidRPr="003C5355" w:rsidTr="00473539">
        <w:trPr>
          <w:trHeight w:val="910"/>
        </w:trPr>
        <w:tc>
          <w:tcPr>
            <w:tcW w:w="1502" w:type="dxa"/>
            <w:hideMark/>
          </w:tcPr>
          <w:p w:rsidR="00A0523F" w:rsidRPr="003C5355" w:rsidRDefault="00A0523F">
            <w:pPr>
              <w:tabs>
                <w:tab w:val="left" w:pos="1247"/>
                <w:tab w:val="left" w:pos="1814"/>
                <w:tab w:val="left" w:pos="2381"/>
                <w:tab w:val="left" w:pos="2948"/>
                <w:tab w:val="left" w:pos="3515"/>
              </w:tabs>
              <w:rPr>
                <w:rFonts w:ascii="Arial" w:hAnsi="Arial"/>
                <w:b/>
                <w:caps/>
                <w:sz w:val="27"/>
                <w:szCs w:val="27"/>
                <w:lang w:val="fr-FR"/>
              </w:rPr>
            </w:pPr>
            <w:r w:rsidRPr="003C5355">
              <w:rPr>
                <w:rFonts w:ascii="Arial" w:hAnsi="Arial"/>
                <w:b/>
                <w:caps/>
                <w:sz w:val="27"/>
                <w:szCs w:val="27"/>
                <w:lang w:val="fr-FR"/>
              </w:rPr>
              <w:t>NATIONS</w:t>
            </w:r>
          </w:p>
          <w:p w:rsidR="00A0523F" w:rsidRPr="003C5355" w:rsidRDefault="00A0523F">
            <w:pPr>
              <w:tabs>
                <w:tab w:val="left" w:pos="1247"/>
                <w:tab w:val="left" w:pos="1814"/>
                <w:tab w:val="left" w:pos="2381"/>
                <w:tab w:val="left" w:pos="2948"/>
                <w:tab w:val="left" w:pos="3515"/>
              </w:tabs>
              <w:rPr>
                <w:rFonts w:ascii="Univers" w:hAnsi="Univers"/>
                <w:b/>
                <w:sz w:val="27"/>
                <w:lang w:val="fr-FR"/>
              </w:rPr>
            </w:pPr>
            <w:r w:rsidRPr="003C5355">
              <w:rPr>
                <w:rFonts w:ascii="Arial" w:hAnsi="Arial"/>
                <w:b/>
                <w:caps/>
                <w:sz w:val="27"/>
                <w:szCs w:val="27"/>
                <w:lang w:val="fr-FR"/>
              </w:rPr>
              <w:t>unies</w:t>
            </w:r>
          </w:p>
        </w:tc>
        <w:tc>
          <w:tcPr>
            <w:tcW w:w="2327" w:type="dxa"/>
            <w:gridSpan w:val="2"/>
            <w:hideMark/>
          </w:tcPr>
          <w:p w:rsidR="00A0523F" w:rsidRPr="003C5355" w:rsidRDefault="00A0523F">
            <w:pPr>
              <w:spacing w:before="60" w:after="60"/>
              <w:rPr>
                <w:b/>
                <w:bCs/>
                <w:lang w:val="fr-FR"/>
              </w:rPr>
            </w:pPr>
            <w:r w:rsidRPr="003C5355">
              <w:rPr>
                <w:noProof/>
                <w:lang w:val="fr-FR"/>
              </w:rPr>
              <w:drawing>
                <wp:anchor distT="0" distB="0" distL="114300" distR="114300" simplePos="0" relativeHeight="251657216" behindDoc="0" locked="0" layoutInCell="1" allowOverlap="1" wp14:anchorId="6F3F75DC" wp14:editId="70996C16">
                  <wp:simplePos x="0" y="0"/>
                  <wp:positionH relativeFrom="column">
                    <wp:posOffset>155575</wp:posOffset>
                  </wp:positionH>
                  <wp:positionV relativeFrom="paragraph">
                    <wp:posOffset>31750</wp:posOffset>
                  </wp:positionV>
                  <wp:extent cx="1480820" cy="894080"/>
                  <wp:effectExtent l="0" t="0" r="508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820" cy="894080"/>
                          </a:xfrm>
                          <a:prstGeom prst="rect">
                            <a:avLst/>
                          </a:prstGeom>
                          <a:noFill/>
                        </pic:spPr>
                      </pic:pic>
                    </a:graphicData>
                  </a:graphic>
                  <wp14:sizeRelH relativeFrom="page">
                    <wp14:pctWidth>0</wp14:pctWidth>
                  </wp14:sizeRelH>
                  <wp14:sizeRelV relativeFrom="page">
                    <wp14:pctHeight>0</wp14:pctHeight>
                  </wp14:sizeRelV>
                </wp:anchor>
              </w:drawing>
            </w:r>
          </w:p>
        </w:tc>
        <w:tc>
          <w:tcPr>
            <w:tcW w:w="5455" w:type="dxa"/>
            <w:gridSpan w:val="3"/>
            <w:hideMark/>
          </w:tcPr>
          <w:p w:rsidR="00A0523F" w:rsidRPr="003C5355" w:rsidRDefault="00A0523F">
            <w:pPr>
              <w:pStyle w:val="Heading2"/>
              <w:keepNext w:val="0"/>
              <w:ind w:left="-74"/>
              <w:rPr>
                <w:rFonts w:ascii="Arial" w:hAnsi="Arial" w:cs="Arial"/>
                <w:sz w:val="20"/>
                <w:szCs w:val="20"/>
                <w:lang w:val="fr-FR"/>
              </w:rPr>
            </w:pPr>
            <w:r w:rsidRPr="003C5355">
              <w:rPr>
                <w:noProof/>
                <w:lang w:val="fr-FR"/>
              </w:rPr>
              <w:drawing>
                <wp:anchor distT="0" distB="0" distL="114300" distR="114300" simplePos="0" relativeHeight="251658240" behindDoc="0" locked="0" layoutInCell="1" allowOverlap="1" wp14:anchorId="48D468E0" wp14:editId="17C82DF9">
                  <wp:simplePos x="0" y="0"/>
                  <wp:positionH relativeFrom="column">
                    <wp:posOffset>213360</wp:posOffset>
                  </wp:positionH>
                  <wp:positionV relativeFrom="paragraph">
                    <wp:posOffset>27940</wp:posOffset>
                  </wp:positionV>
                  <wp:extent cx="2599690" cy="546100"/>
                  <wp:effectExtent l="0" t="0" r="0" b="6350"/>
                  <wp:wrapNone/>
                  <wp:docPr id="12" name="Picture 12"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690" cy="546100"/>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hideMark/>
          </w:tcPr>
          <w:p w:rsidR="00A0523F" w:rsidRPr="003C5355" w:rsidRDefault="00A0523F" w:rsidP="00473539">
            <w:pPr>
              <w:ind w:left="-233"/>
              <w:jc w:val="right"/>
              <w:rPr>
                <w:rFonts w:ascii="Arial" w:hAnsi="Arial" w:cs="Arial"/>
                <w:b/>
                <w:bCs/>
                <w:sz w:val="40"/>
                <w:szCs w:val="40"/>
                <w:lang w:val="fr-FR"/>
              </w:rPr>
            </w:pPr>
            <w:r w:rsidRPr="003C5355">
              <w:rPr>
                <w:rFonts w:ascii="Arial" w:hAnsi="Arial" w:cs="Arial"/>
                <w:b/>
                <w:bCs/>
                <w:sz w:val="40"/>
                <w:szCs w:val="40"/>
                <w:lang w:val="fr-FR"/>
              </w:rPr>
              <w:t>BC</w:t>
            </w:r>
          </w:p>
          <w:p w:rsidR="00A0523F" w:rsidRPr="003C5355" w:rsidRDefault="00A0523F">
            <w:pPr>
              <w:jc w:val="right"/>
              <w:rPr>
                <w:rFonts w:ascii="Arial" w:hAnsi="Arial" w:cs="Arial"/>
                <w:b/>
                <w:bCs/>
                <w:sz w:val="40"/>
                <w:szCs w:val="40"/>
                <w:lang w:val="fr-FR"/>
              </w:rPr>
            </w:pPr>
            <w:r w:rsidRPr="003C5355">
              <w:rPr>
                <w:rFonts w:ascii="Arial" w:hAnsi="Arial" w:cs="Arial"/>
                <w:b/>
                <w:bCs/>
                <w:sz w:val="40"/>
                <w:szCs w:val="40"/>
                <w:lang w:val="fr-FR"/>
              </w:rPr>
              <w:t>RC</w:t>
            </w:r>
          </w:p>
          <w:p w:rsidR="00A0523F" w:rsidRPr="003C5355" w:rsidRDefault="00A0523F">
            <w:pPr>
              <w:jc w:val="right"/>
              <w:rPr>
                <w:sz w:val="56"/>
                <w:szCs w:val="56"/>
                <w:lang w:val="fr-FR"/>
              </w:rPr>
            </w:pPr>
            <w:r w:rsidRPr="003C5355">
              <w:rPr>
                <w:rFonts w:ascii="Arial" w:hAnsi="Arial" w:cs="Arial"/>
                <w:b/>
                <w:bCs/>
                <w:sz w:val="40"/>
                <w:szCs w:val="40"/>
                <w:lang w:val="fr-FR"/>
              </w:rPr>
              <w:t>SC</w:t>
            </w:r>
          </w:p>
        </w:tc>
      </w:tr>
      <w:tr w:rsidR="00A0523F" w:rsidRPr="003C5355" w:rsidTr="00473539">
        <w:trPr>
          <w:trHeight w:val="303"/>
        </w:trPr>
        <w:tc>
          <w:tcPr>
            <w:tcW w:w="6657" w:type="dxa"/>
            <w:gridSpan w:val="4"/>
            <w:tcBorders>
              <w:top w:val="nil"/>
              <w:left w:val="nil"/>
              <w:bottom w:val="single" w:sz="6" w:space="0" w:color="auto"/>
              <w:right w:val="nil"/>
            </w:tcBorders>
          </w:tcPr>
          <w:p w:rsidR="00A0523F" w:rsidRPr="003C5355" w:rsidRDefault="00A0523F">
            <w:pPr>
              <w:rPr>
                <w:b/>
                <w:lang w:val="fr-FR"/>
              </w:rPr>
            </w:pPr>
          </w:p>
        </w:tc>
        <w:tc>
          <w:tcPr>
            <w:tcW w:w="3478" w:type="dxa"/>
            <w:gridSpan w:val="3"/>
            <w:tcBorders>
              <w:top w:val="nil"/>
              <w:left w:val="nil"/>
              <w:bottom w:val="single" w:sz="6" w:space="0" w:color="auto"/>
              <w:right w:val="nil"/>
            </w:tcBorders>
            <w:hideMark/>
          </w:tcPr>
          <w:p w:rsidR="00A0523F" w:rsidRPr="003C5355" w:rsidRDefault="00A0523F">
            <w:pPr>
              <w:rPr>
                <w:bCs/>
                <w:sz w:val="20"/>
                <w:lang w:val="fr-FR"/>
              </w:rPr>
            </w:pPr>
            <w:r w:rsidRPr="003C5355">
              <w:rPr>
                <w:b/>
                <w:sz w:val="24"/>
                <w:szCs w:val="24"/>
                <w:lang w:val="fr-FR"/>
              </w:rPr>
              <w:t>UNEP</w:t>
            </w:r>
            <w:r w:rsidRPr="003C5355">
              <w:rPr>
                <w:bCs/>
                <w:sz w:val="24"/>
                <w:szCs w:val="24"/>
                <w:lang w:val="fr-FR"/>
              </w:rPr>
              <w:t>/</w:t>
            </w:r>
            <w:r w:rsidRPr="003C5355">
              <w:rPr>
                <w:bCs/>
                <w:sz w:val="20"/>
                <w:lang w:val="fr-FR"/>
              </w:rPr>
              <w:t>CHW.13/24</w:t>
            </w:r>
          </w:p>
          <w:p w:rsidR="00A0523F" w:rsidRPr="003C5355" w:rsidRDefault="00A0523F">
            <w:pPr>
              <w:rPr>
                <w:bCs/>
                <w:sz w:val="20"/>
                <w:lang w:val="fr-FR"/>
              </w:rPr>
            </w:pPr>
            <w:r w:rsidRPr="003C5355">
              <w:rPr>
                <w:b/>
                <w:sz w:val="24"/>
                <w:szCs w:val="24"/>
                <w:lang w:val="fr-FR"/>
              </w:rPr>
              <w:t>UNEP/FAO</w:t>
            </w:r>
            <w:r w:rsidRPr="003C5355">
              <w:rPr>
                <w:bCs/>
                <w:sz w:val="20"/>
                <w:lang w:val="fr-FR"/>
              </w:rPr>
              <w:t>/RC/COP.8/23</w:t>
            </w:r>
          </w:p>
          <w:p w:rsidR="00A0523F" w:rsidRPr="003C5355" w:rsidRDefault="00A0523F">
            <w:pPr>
              <w:rPr>
                <w:lang w:val="fr-FR"/>
              </w:rPr>
            </w:pPr>
            <w:r w:rsidRPr="003C5355">
              <w:rPr>
                <w:b/>
                <w:sz w:val="24"/>
                <w:szCs w:val="24"/>
                <w:lang w:val="fr-FR"/>
              </w:rPr>
              <w:t>UNEP</w:t>
            </w:r>
            <w:r w:rsidRPr="003C5355">
              <w:rPr>
                <w:bCs/>
                <w:sz w:val="24"/>
                <w:szCs w:val="24"/>
                <w:lang w:val="fr-FR"/>
              </w:rPr>
              <w:t>/</w:t>
            </w:r>
            <w:r w:rsidRPr="003C5355">
              <w:rPr>
                <w:bCs/>
                <w:sz w:val="20"/>
                <w:lang w:val="fr-FR"/>
              </w:rPr>
              <w:t>POPS/COP.8/27</w:t>
            </w:r>
          </w:p>
        </w:tc>
      </w:tr>
      <w:tr w:rsidR="00A0523F" w:rsidRPr="003C5355" w:rsidTr="00473539">
        <w:trPr>
          <w:trHeight w:val="2695"/>
        </w:trPr>
        <w:tc>
          <w:tcPr>
            <w:tcW w:w="1502" w:type="dxa"/>
            <w:tcBorders>
              <w:top w:val="single" w:sz="6" w:space="0" w:color="auto"/>
              <w:left w:val="nil"/>
              <w:bottom w:val="single" w:sz="18" w:space="0" w:color="auto"/>
              <w:right w:val="nil"/>
            </w:tcBorders>
          </w:tcPr>
          <w:p w:rsidR="00A0523F" w:rsidRPr="003C5355" w:rsidRDefault="00A0523F">
            <w:pPr>
              <w:spacing w:before="60"/>
              <w:rPr>
                <w:lang w:val="fr-FR"/>
              </w:rPr>
            </w:pPr>
            <w:r w:rsidRPr="003C5355">
              <w:rPr>
                <w:b/>
                <w:sz w:val="32"/>
                <w:lang w:val="fr-FR"/>
              </w:rPr>
              <w:object w:dxaOrig="142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29.85pt" o:ole="" fillcolor="window">
                  <v:imagedata r:id="rId11" o:title=""/>
                </v:shape>
                <o:OLEObject Type="Embed" ProgID="Word.Picture.8" ShapeID="_x0000_i1025" DrawAspect="Content" ObjectID="_1541579931" r:id="rId12"/>
              </w:object>
            </w:r>
          </w:p>
          <w:p w:rsidR="00A0523F" w:rsidRPr="003C5355" w:rsidRDefault="00A0523F">
            <w:pPr>
              <w:spacing w:before="60"/>
              <w:rPr>
                <w:lang w:val="fr-FR"/>
              </w:rPr>
            </w:pPr>
          </w:p>
          <w:p w:rsidR="00A0523F" w:rsidRPr="003C5355" w:rsidRDefault="00A0523F">
            <w:pPr>
              <w:spacing w:before="60"/>
              <w:rPr>
                <w:lang w:val="fr-FR"/>
              </w:rPr>
            </w:pPr>
          </w:p>
          <w:p w:rsidR="00A0523F" w:rsidRPr="003C5355" w:rsidRDefault="00A0523F">
            <w:pPr>
              <w:spacing w:before="60"/>
              <w:rPr>
                <w:lang w:val="fr-FR"/>
              </w:rPr>
            </w:pPr>
            <w:r w:rsidRPr="003C5355">
              <w:rPr>
                <w:rFonts w:ascii="GillSans Light" w:hAnsi="GillSans Light"/>
                <w:noProof/>
                <w:lang w:val="fr-FR"/>
              </w:rPr>
              <w:drawing>
                <wp:inline distT="0" distB="0" distL="0" distR="0" wp14:anchorId="10A4BF33" wp14:editId="1B47C978">
                  <wp:extent cx="734060" cy="631825"/>
                  <wp:effectExtent l="0" t="0" r="8890" b="0"/>
                  <wp:docPr id="11" name="Picture 11"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bw"/>
                          <pic:cNvPicPr>
                            <a:picLocks noChangeAspect="1" noChangeArrowheads="1"/>
                          </pic:cNvPicPr>
                        </pic:nvPicPr>
                        <pic:blipFill>
                          <a:blip r:embed="rId13">
                            <a:grayscl/>
                            <a:extLst>
                              <a:ext uri="{28A0092B-C50C-407E-A947-70E740481C1C}">
                                <a14:useLocalDpi xmlns:a14="http://schemas.microsoft.com/office/drawing/2010/main" val="0"/>
                              </a:ext>
                            </a:extLst>
                          </a:blip>
                          <a:srcRect b="29143"/>
                          <a:stretch>
                            <a:fillRect/>
                          </a:stretch>
                        </pic:blipFill>
                        <pic:spPr bwMode="auto">
                          <a:xfrm>
                            <a:off x="0" y="0"/>
                            <a:ext cx="734060" cy="631825"/>
                          </a:xfrm>
                          <a:prstGeom prst="rect">
                            <a:avLst/>
                          </a:prstGeom>
                          <a:noFill/>
                          <a:ln>
                            <a:noFill/>
                          </a:ln>
                        </pic:spPr>
                      </pic:pic>
                    </a:graphicData>
                  </a:graphic>
                </wp:inline>
              </w:drawing>
            </w:r>
          </w:p>
          <w:p w:rsidR="00A0523F" w:rsidRPr="003C5355" w:rsidRDefault="00A0523F">
            <w:pPr>
              <w:spacing w:before="60"/>
              <w:rPr>
                <w:lang w:val="fr-FR"/>
              </w:rPr>
            </w:pPr>
          </w:p>
          <w:p w:rsidR="00A0523F" w:rsidRPr="003C5355" w:rsidRDefault="00A0523F">
            <w:pPr>
              <w:spacing w:before="60"/>
              <w:rPr>
                <w:lang w:val="fr-FR"/>
              </w:rPr>
            </w:pPr>
            <w:r w:rsidRPr="003C5355">
              <w:rPr>
                <w:noProof/>
                <w:lang w:val="fr-FR"/>
              </w:rPr>
              <w:drawing>
                <wp:inline distT="0" distB="0" distL="0" distR="0" wp14:anchorId="2C08AE14" wp14:editId="640AF28E">
                  <wp:extent cx="685800" cy="541655"/>
                  <wp:effectExtent l="0" t="0" r="0" b="0"/>
                  <wp:docPr id="10" name="Picture 10"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 BW NO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41655"/>
                          </a:xfrm>
                          <a:prstGeom prst="rect">
                            <a:avLst/>
                          </a:prstGeom>
                          <a:noFill/>
                          <a:ln>
                            <a:noFill/>
                          </a:ln>
                        </pic:spPr>
                      </pic:pic>
                    </a:graphicData>
                  </a:graphic>
                </wp:inline>
              </w:drawing>
            </w:r>
          </w:p>
        </w:tc>
        <w:tc>
          <w:tcPr>
            <w:tcW w:w="5155" w:type="dxa"/>
            <w:gridSpan w:val="3"/>
            <w:tcBorders>
              <w:top w:val="single" w:sz="6" w:space="0" w:color="auto"/>
              <w:left w:val="nil"/>
              <w:bottom w:val="single" w:sz="18" w:space="0" w:color="auto"/>
              <w:right w:val="nil"/>
            </w:tcBorders>
          </w:tcPr>
          <w:p w:rsidR="00A0523F" w:rsidRPr="003C5355" w:rsidRDefault="00A0523F">
            <w:pPr>
              <w:rPr>
                <w:b/>
                <w:bCs/>
                <w:sz w:val="27"/>
                <w:szCs w:val="27"/>
                <w:lang w:val="fr-FR"/>
              </w:rPr>
            </w:pPr>
            <w:r w:rsidRPr="003C5355">
              <w:rPr>
                <w:b/>
                <w:bCs/>
                <w:sz w:val="27"/>
                <w:szCs w:val="27"/>
                <w:lang w:val="fr-FR"/>
              </w:rPr>
              <w:t xml:space="preserve">Convention de Bâle sur le contrôle des mouvements transfrontières de déchets dangereux et de leur élimination </w:t>
            </w:r>
          </w:p>
          <w:p w:rsidR="00A0523F" w:rsidRPr="003C5355" w:rsidRDefault="00A0523F">
            <w:pPr>
              <w:rPr>
                <w:b/>
                <w:bCs/>
                <w:sz w:val="27"/>
                <w:szCs w:val="27"/>
                <w:lang w:val="fr-FR"/>
              </w:rPr>
            </w:pPr>
          </w:p>
          <w:p w:rsidR="00A0523F" w:rsidRPr="003C5355" w:rsidRDefault="00A0523F">
            <w:pPr>
              <w:rPr>
                <w:b/>
                <w:bCs/>
                <w:sz w:val="27"/>
                <w:szCs w:val="27"/>
                <w:lang w:val="fr-FR"/>
              </w:rPr>
            </w:pPr>
            <w:r w:rsidRPr="003C5355">
              <w:rPr>
                <w:b/>
                <w:bCs/>
                <w:sz w:val="27"/>
                <w:szCs w:val="27"/>
                <w:lang w:val="fr-FR"/>
              </w:rPr>
              <w:t>Convention de Rotterdam sur la procédure de consentement préalable en connaissance de cause applicable à certains produits chimiques et pesticides dangereux qui font l</w:t>
            </w:r>
            <w:r w:rsidR="003C5355">
              <w:rPr>
                <w:b/>
                <w:bCs/>
                <w:sz w:val="27"/>
                <w:szCs w:val="27"/>
                <w:lang w:val="fr-FR"/>
              </w:rPr>
              <w:t>’</w:t>
            </w:r>
            <w:r w:rsidRPr="003C5355">
              <w:rPr>
                <w:b/>
                <w:bCs/>
                <w:sz w:val="27"/>
                <w:szCs w:val="27"/>
                <w:lang w:val="fr-FR"/>
              </w:rPr>
              <w:t>objet d</w:t>
            </w:r>
            <w:r w:rsidR="003C5355">
              <w:rPr>
                <w:b/>
                <w:bCs/>
                <w:sz w:val="27"/>
                <w:szCs w:val="27"/>
                <w:lang w:val="fr-FR"/>
              </w:rPr>
              <w:t>’</w:t>
            </w:r>
            <w:r w:rsidRPr="003C5355">
              <w:rPr>
                <w:b/>
                <w:bCs/>
                <w:sz w:val="27"/>
                <w:szCs w:val="27"/>
                <w:lang w:val="fr-FR"/>
              </w:rPr>
              <w:t xml:space="preserve">un commerce international </w:t>
            </w:r>
          </w:p>
          <w:p w:rsidR="00A0523F" w:rsidRPr="003C5355" w:rsidRDefault="00A0523F">
            <w:pPr>
              <w:rPr>
                <w:b/>
                <w:bCs/>
                <w:sz w:val="27"/>
                <w:szCs w:val="27"/>
                <w:lang w:val="fr-FR"/>
              </w:rPr>
            </w:pPr>
          </w:p>
          <w:p w:rsidR="00A0523F" w:rsidRPr="003C5355" w:rsidRDefault="00A0523F">
            <w:pPr>
              <w:spacing w:after="60"/>
              <w:rPr>
                <w:sz w:val="32"/>
                <w:szCs w:val="32"/>
                <w:lang w:val="fr-FR"/>
              </w:rPr>
            </w:pPr>
            <w:r w:rsidRPr="003C5355">
              <w:rPr>
                <w:b/>
                <w:bCs/>
                <w:sz w:val="27"/>
                <w:szCs w:val="27"/>
                <w:lang w:val="fr-FR"/>
              </w:rPr>
              <w:t>Convention de Stockholm sur les polluants organiques persistants</w:t>
            </w:r>
          </w:p>
        </w:tc>
        <w:tc>
          <w:tcPr>
            <w:tcW w:w="3478" w:type="dxa"/>
            <w:gridSpan w:val="3"/>
            <w:tcBorders>
              <w:top w:val="single" w:sz="6" w:space="0" w:color="auto"/>
              <w:left w:val="nil"/>
              <w:bottom w:val="single" w:sz="18" w:space="0" w:color="auto"/>
              <w:right w:val="nil"/>
            </w:tcBorders>
          </w:tcPr>
          <w:p w:rsidR="00A0523F" w:rsidRPr="003C5355" w:rsidRDefault="00A0523F">
            <w:pPr>
              <w:rPr>
                <w:lang w:val="fr-FR"/>
              </w:rPr>
            </w:pPr>
          </w:p>
          <w:p w:rsidR="00A0523F" w:rsidRPr="003C5355" w:rsidRDefault="00A0523F">
            <w:pPr>
              <w:tabs>
                <w:tab w:val="center" w:pos="1738"/>
              </w:tabs>
              <w:rPr>
                <w:sz w:val="20"/>
                <w:lang w:val="fr-FR"/>
              </w:rPr>
            </w:pPr>
            <w:proofErr w:type="spellStart"/>
            <w:r w:rsidRPr="003C5355">
              <w:rPr>
                <w:sz w:val="20"/>
                <w:lang w:val="fr-FR"/>
              </w:rPr>
              <w:t>Distr</w:t>
            </w:r>
            <w:proofErr w:type="spellEnd"/>
            <w:r w:rsidRPr="003C5355">
              <w:rPr>
                <w:sz w:val="20"/>
                <w:lang w:val="fr-FR"/>
              </w:rPr>
              <w:t>. générale</w:t>
            </w:r>
            <w:r w:rsidRPr="003C5355">
              <w:rPr>
                <w:sz w:val="20"/>
                <w:lang w:val="fr-FR"/>
              </w:rPr>
              <w:tab/>
            </w:r>
          </w:p>
          <w:p w:rsidR="00A0523F" w:rsidRPr="003C5355" w:rsidRDefault="00A0523F">
            <w:pPr>
              <w:spacing w:after="120"/>
              <w:rPr>
                <w:sz w:val="20"/>
                <w:lang w:val="fr-FR"/>
              </w:rPr>
            </w:pPr>
            <w:r w:rsidRPr="003C5355">
              <w:rPr>
                <w:sz w:val="20"/>
                <w:lang w:val="fr-FR"/>
              </w:rPr>
              <w:t>2</w:t>
            </w:r>
            <w:r w:rsidR="00F23192" w:rsidRPr="003C5355">
              <w:rPr>
                <w:sz w:val="20"/>
                <w:lang w:val="fr-FR"/>
              </w:rPr>
              <w:t>1</w:t>
            </w:r>
            <w:r w:rsidRPr="003C5355">
              <w:rPr>
                <w:sz w:val="20"/>
                <w:lang w:val="fr-FR"/>
              </w:rPr>
              <w:t> octobre 2016</w:t>
            </w:r>
          </w:p>
          <w:p w:rsidR="00A0523F" w:rsidRPr="003C5355" w:rsidRDefault="00A0523F">
            <w:pPr>
              <w:rPr>
                <w:lang w:val="fr-FR"/>
              </w:rPr>
            </w:pPr>
            <w:r w:rsidRPr="003C5355">
              <w:rPr>
                <w:sz w:val="20"/>
                <w:lang w:val="fr-FR"/>
              </w:rPr>
              <w:t>Français</w:t>
            </w:r>
            <w:r w:rsidRPr="003C5355">
              <w:rPr>
                <w:sz w:val="20"/>
                <w:lang w:val="fr-FR"/>
              </w:rPr>
              <w:br/>
              <w:t>Original : anglais</w:t>
            </w:r>
          </w:p>
        </w:tc>
      </w:tr>
      <w:tr w:rsidR="00A0523F" w:rsidRPr="003C5355" w:rsidTr="00473539">
        <w:tc>
          <w:tcPr>
            <w:tcW w:w="3345" w:type="dxa"/>
            <w:gridSpan w:val="2"/>
            <w:tcBorders>
              <w:top w:val="single" w:sz="18" w:space="0" w:color="auto"/>
              <w:left w:val="nil"/>
              <w:bottom w:val="nil"/>
              <w:right w:val="nil"/>
            </w:tcBorders>
            <w:hideMark/>
          </w:tcPr>
          <w:p w:rsidR="00A0523F" w:rsidRPr="003C5355" w:rsidRDefault="00A0523F">
            <w:pPr>
              <w:pStyle w:val="AATitle"/>
              <w:keepNext w:val="0"/>
              <w:keepLines w:val="0"/>
              <w:tabs>
                <w:tab w:val="left" w:pos="720"/>
              </w:tabs>
              <w:spacing w:before="60"/>
              <w:ind w:right="80"/>
              <w:rPr>
                <w:lang w:val="fr-FR"/>
              </w:rPr>
            </w:pPr>
            <w:r w:rsidRPr="003C5355">
              <w:rPr>
                <w:lang w:val="fr-FR"/>
              </w:rPr>
              <w:t xml:space="preserve">Conférence des Parties à la Convention de Bâle sur le contrôle des mouvements transfrontières de déchets dangereux et de leur élimination </w:t>
            </w:r>
          </w:p>
          <w:p w:rsidR="00A0523F" w:rsidRPr="003C5355" w:rsidRDefault="00A0523F">
            <w:pPr>
              <w:pStyle w:val="AATitle"/>
              <w:keepNext w:val="0"/>
              <w:keepLines w:val="0"/>
              <w:tabs>
                <w:tab w:val="left" w:pos="720"/>
              </w:tabs>
              <w:spacing w:before="60"/>
              <w:ind w:right="80"/>
              <w:rPr>
                <w:lang w:val="fr-FR"/>
              </w:rPr>
            </w:pPr>
            <w:r w:rsidRPr="003C5355">
              <w:rPr>
                <w:lang w:val="fr-FR"/>
              </w:rPr>
              <w:t>Treizième réunion</w:t>
            </w:r>
          </w:p>
          <w:p w:rsidR="00A0523F" w:rsidRPr="003C5355" w:rsidRDefault="00A0523F">
            <w:pPr>
              <w:pStyle w:val="AATitle"/>
              <w:keepNext w:val="0"/>
              <w:keepLines w:val="0"/>
              <w:tabs>
                <w:tab w:val="left" w:pos="4082"/>
              </w:tabs>
              <w:ind w:right="80"/>
              <w:rPr>
                <w:b w:val="0"/>
                <w:lang w:val="fr-FR"/>
              </w:rPr>
            </w:pPr>
            <w:r w:rsidRPr="003C5355">
              <w:rPr>
                <w:b w:val="0"/>
                <w:lang w:val="fr-FR"/>
              </w:rPr>
              <w:t>Genève, 24 avril – 5 mai 2017</w:t>
            </w:r>
          </w:p>
          <w:p w:rsidR="00A0523F" w:rsidRPr="003C5355" w:rsidRDefault="00A0523F">
            <w:pPr>
              <w:ind w:right="80"/>
              <w:rPr>
                <w:sz w:val="20"/>
                <w:lang w:val="fr-FR"/>
              </w:rPr>
            </w:pPr>
            <w:r w:rsidRPr="003C5355">
              <w:rPr>
                <w:sz w:val="20"/>
                <w:lang w:val="fr-FR"/>
              </w:rPr>
              <w:t>Point 5 de l</w:t>
            </w:r>
            <w:r w:rsidR="003C5355">
              <w:rPr>
                <w:sz w:val="20"/>
                <w:lang w:val="fr-FR"/>
              </w:rPr>
              <w:t>’</w:t>
            </w:r>
            <w:r w:rsidRPr="003C5355">
              <w:rPr>
                <w:sz w:val="20"/>
                <w:lang w:val="fr-FR"/>
              </w:rPr>
              <w:t>ordre du jour provisoire</w:t>
            </w:r>
            <w:r w:rsidRPr="003C5355">
              <w:rPr>
                <w:rStyle w:val="FootnoteReference"/>
                <w:sz w:val="20"/>
                <w:lang w:val="fr-FR"/>
              </w:rPr>
              <w:footnoteReference w:customMarkFollows="1" w:id="1"/>
              <w:t>*</w:t>
            </w:r>
          </w:p>
          <w:p w:rsidR="00A0523F" w:rsidRPr="003C5355" w:rsidRDefault="00A0523F">
            <w:pPr>
              <w:spacing w:before="60"/>
              <w:ind w:right="80"/>
              <w:rPr>
                <w:b/>
                <w:sz w:val="20"/>
                <w:lang w:val="fr-FR"/>
              </w:rPr>
            </w:pPr>
            <w:r w:rsidRPr="003C5355">
              <w:rPr>
                <w:b/>
                <w:sz w:val="20"/>
                <w:lang w:val="fr-FR"/>
              </w:rPr>
              <w:t>Renforcement de la coopération et de la coordination entre les conventions de Bâle, de Rotterdam et de Stockholm</w:t>
            </w:r>
          </w:p>
        </w:tc>
        <w:tc>
          <w:tcPr>
            <w:tcW w:w="3510" w:type="dxa"/>
            <w:gridSpan w:val="3"/>
            <w:tcBorders>
              <w:top w:val="single" w:sz="18" w:space="0" w:color="auto"/>
              <w:left w:val="nil"/>
              <w:bottom w:val="nil"/>
              <w:right w:val="nil"/>
            </w:tcBorders>
            <w:hideMark/>
          </w:tcPr>
          <w:p w:rsidR="00A0523F" w:rsidRPr="003C5355" w:rsidRDefault="00A0523F">
            <w:pPr>
              <w:pStyle w:val="AATitle"/>
              <w:keepNext w:val="0"/>
              <w:keepLines w:val="0"/>
              <w:tabs>
                <w:tab w:val="clear" w:pos="1247"/>
                <w:tab w:val="clear" w:pos="2381"/>
                <w:tab w:val="left" w:pos="4014"/>
              </w:tabs>
              <w:spacing w:before="60"/>
              <w:ind w:right="176"/>
              <w:rPr>
                <w:lang w:val="fr-FR"/>
              </w:rPr>
            </w:pPr>
            <w:r w:rsidRPr="003C5355">
              <w:rPr>
                <w:lang w:val="fr-FR"/>
              </w:rPr>
              <w:t>Conférence des Parties à la Convention de Rotterdam sur la procédure de consentement préalable en connaissance de cause applicable à certains produits chimiques et pesticides dangereux qui font l</w:t>
            </w:r>
            <w:r w:rsidR="003C5355">
              <w:rPr>
                <w:lang w:val="fr-FR"/>
              </w:rPr>
              <w:t>’</w:t>
            </w:r>
            <w:r w:rsidRPr="003C5355">
              <w:rPr>
                <w:lang w:val="fr-FR"/>
              </w:rPr>
              <w:t>objet d</w:t>
            </w:r>
            <w:r w:rsidR="003C5355">
              <w:rPr>
                <w:lang w:val="fr-FR"/>
              </w:rPr>
              <w:t>’</w:t>
            </w:r>
            <w:r w:rsidRPr="003C5355">
              <w:rPr>
                <w:lang w:val="fr-FR"/>
              </w:rPr>
              <w:t xml:space="preserve">un commerce international </w:t>
            </w:r>
          </w:p>
          <w:p w:rsidR="00A0523F" w:rsidRPr="003C5355" w:rsidRDefault="00A0523F">
            <w:pPr>
              <w:pStyle w:val="AATitle"/>
              <w:keepNext w:val="0"/>
              <w:keepLines w:val="0"/>
              <w:tabs>
                <w:tab w:val="clear" w:pos="1247"/>
                <w:tab w:val="clear" w:pos="2381"/>
                <w:tab w:val="left" w:pos="4014"/>
              </w:tabs>
              <w:ind w:right="176"/>
              <w:rPr>
                <w:lang w:val="fr-FR"/>
              </w:rPr>
            </w:pPr>
            <w:r w:rsidRPr="003C5355">
              <w:rPr>
                <w:lang w:val="fr-FR"/>
              </w:rPr>
              <w:t>Huitième réunion</w:t>
            </w:r>
          </w:p>
          <w:p w:rsidR="00A0523F" w:rsidRPr="003C5355" w:rsidRDefault="00A0523F">
            <w:pPr>
              <w:tabs>
                <w:tab w:val="left" w:pos="4014"/>
              </w:tabs>
              <w:ind w:right="176"/>
              <w:rPr>
                <w:sz w:val="20"/>
                <w:lang w:val="fr-FR"/>
              </w:rPr>
            </w:pPr>
            <w:r w:rsidRPr="003C5355">
              <w:rPr>
                <w:sz w:val="20"/>
                <w:lang w:val="fr-FR"/>
              </w:rPr>
              <w:t>Genève, 24 avril – 5 mai 2017</w:t>
            </w:r>
          </w:p>
          <w:p w:rsidR="00A0523F" w:rsidRPr="003C5355" w:rsidRDefault="00A0523F">
            <w:pPr>
              <w:tabs>
                <w:tab w:val="left" w:pos="4014"/>
              </w:tabs>
              <w:ind w:right="176"/>
              <w:rPr>
                <w:sz w:val="20"/>
                <w:lang w:val="fr-FR"/>
              </w:rPr>
            </w:pPr>
            <w:r w:rsidRPr="003C5355">
              <w:rPr>
                <w:sz w:val="20"/>
                <w:lang w:val="fr-FR"/>
              </w:rPr>
              <w:t>Point 6 de l</w:t>
            </w:r>
            <w:r w:rsidR="003C5355">
              <w:rPr>
                <w:sz w:val="20"/>
                <w:lang w:val="fr-FR"/>
              </w:rPr>
              <w:t>’</w:t>
            </w:r>
            <w:r w:rsidRPr="003C5355">
              <w:rPr>
                <w:sz w:val="20"/>
                <w:lang w:val="fr-FR"/>
              </w:rPr>
              <w:t>ordre du jour provisoire</w:t>
            </w:r>
            <w:r w:rsidRPr="003C5355">
              <w:rPr>
                <w:rStyle w:val="FootnoteReference"/>
                <w:sz w:val="20"/>
                <w:lang w:val="fr-FR"/>
              </w:rPr>
              <w:footnoteReference w:customMarkFollows="1" w:id="2"/>
              <w:t>**</w:t>
            </w:r>
          </w:p>
          <w:p w:rsidR="00A0523F" w:rsidRPr="003C5355" w:rsidRDefault="00A0523F">
            <w:pPr>
              <w:tabs>
                <w:tab w:val="left" w:pos="4014"/>
              </w:tabs>
              <w:spacing w:before="60"/>
              <w:ind w:right="176"/>
              <w:rPr>
                <w:b/>
                <w:sz w:val="20"/>
                <w:lang w:val="fr-FR"/>
              </w:rPr>
            </w:pPr>
            <w:r w:rsidRPr="003C5355">
              <w:rPr>
                <w:b/>
                <w:sz w:val="20"/>
                <w:lang w:val="fr-FR"/>
              </w:rPr>
              <w:t>Renforcement de la coopération et de la coordination entre les conventions de Bâle, de Rotterdam et de Stockholm</w:t>
            </w:r>
          </w:p>
        </w:tc>
        <w:tc>
          <w:tcPr>
            <w:tcW w:w="3280" w:type="dxa"/>
            <w:gridSpan w:val="2"/>
            <w:tcBorders>
              <w:top w:val="single" w:sz="18" w:space="0" w:color="auto"/>
              <w:left w:val="nil"/>
              <w:bottom w:val="nil"/>
              <w:right w:val="nil"/>
            </w:tcBorders>
            <w:hideMark/>
          </w:tcPr>
          <w:p w:rsidR="00A0523F" w:rsidRPr="003C5355" w:rsidRDefault="00A0523F">
            <w:pPr>
              <w:pStyle w:val="AATitle"/>
              <w:keepNext w:val="0"/>
              <w:keepLines w:val="0"/>
              <w:spacing w:before="60"/>
              <w:ind w:right="176"/>
              <w:rPr>
                <w:lang w:val="fr-FR"/>
              </w:rPr>
            </w:pPr>
            <w:r w:rsidRPr="003C5355">
              <w:rPr>
                <w:lang w:val="fr-FR"/>
              </w:rPr>
              <w:t xml:space="preserve">Conférence des Parties à la Convention de Stockholm sur les polluants organiques persistants </w:t>
            </w:r>
          </w:p>
          <w:p w:rsidR="00A0523F" w:rsidRPr="003C5355" w:rsidRDefault="00A0523F">
            <w:pPr>
              <w:pStyle w:val="AATitle"/>
              <w:keepNext w:val="0"/>
              <w:keepLines w:val="0"/>
              <w:ind w:right="176"/>
              <w:rPr>
                <w:lang w:val="fr-FR"/>
              </w:rPr>
            </w:pPr>
            <w:r w:rsidRPr="003C5355">
              <w:rPr>
                <w:lang w:val="fr-FR"/>
              </w:rPr>
              <w:t>Huitième réunion</w:t>
            </w:r>
          </w:p>
          <w:p w:rsidR="00A0523F" w:rsidRPr="003C5355" w:rsidRDefault="00A0523F">
            <w:pPr>
              <w:pStyle w:val="AATitle"/>
              <w:keepNext w:val="0"/>
              <w:keepLines w:val="0"/>
              <w:tabs>
                <w:tab w:val="clear" w:pos="2948"/>
                <w:tab w:val="left" w:pos="4082"/>
              </w:tabs>
              <w:ind w:right="0"/>
              <w:rPr>
                <w:b w:val="0"/>
                <w:lang w:val="fr-FR"/>
              </w:rPr>
            </w:pPr>
            <w:r w:rsidRPr="003C5355">
              <w:rPr>
                <w:b w:val="0"/>
                <w:lang w:val="fr-FR"/>
              </w:rPr>
              <w:t>Genève, 24 avril – 5 mai 2017</w:t>
            </w:r>
            <w:r w:rsidRPr="003C5355">
              <w:rPr>
                <w:lang w:val="fr-FR"/>
              </w:rPr>
              <w:br/>
            </w:r>
            <w:r w:rsidRPr="003C5355">
              <w:rPr>
                <w:b w:val="0"/>
                <w:lang w:val="fr-FR"/>
              </w:rPr>
              <w:t>Point 6 de l</w:t>
            </w:r>
            <w:r w:rsidR="003C5355">
              <w:rPr>
                <w:b w:val="0"/>
                <w:lang w:val="fr-FR"/>
              </w:rPr>
              <w:t>’</w:t>
            </w:r>
            <w:r w:rsidRPr="003C5355">
              <w:rPr>
                <w:b w:val="0"/>
                <w:lang w:val="fr-FR"/>
              </w:rPr>
              <w:t>ordre du jour provisoire</w:t>
            </w:r>
            <w:r w:rsidRPr="003C5355">
              <w:rPr>
                <w:rStyle w:val="FootnoteReference"/>
                <w:b w:val="0"/>
                <w:lang w:val="fr-FR"/>
              </w:rPr>
              <w:footnoteReference w:customMarkFollows="1" w:id="3"/>
              <w:t>***</w:t>
            </w:r>
          </w:p>
          <w:p w:rsidR="00A0523F" w:rsidRPr="003C5355" w:rsidRDefault="00F23192">
            <w:pPr>
              <w:spacing w:before="60"/>
              <w:ind w:right="176"/>
              <w:rPr>
                <w:b/>
                <w:sz w:val="20"/>
                <w:lang w:val="fr-FR"/>
              </w:rPr>
            </w:pPr>
            <w:r w:rsidRPr="003C5355">
              <w:rPr>
                <w:b/>
                <w:sz w:val="20"/>
                <w:lang w:val="fr-FR"/>
              </w:rPr>
              <w:t>Renforcement</w:t>
            </w:r>
            <w:r w:rsidR="00A0523F" w:rsidRPr="003C5355">
              <w:rPr>
                <w:b/>
                <w:sz w:val="20"/>
                <w:lang w:val="fr-FR"/>
              </w:rPr>
              <w:t xml:space="preserve"> de la coopération et de la coordination entre les conventions de Bâle, de Rotterdam et de Stockholm</w:t>
            </w:r>
          </w:p>
        </w:tc>
      </w:tr>
    </w:tbl>
    <w:p w:rsidR="0059421C" w:rsidRPr="003C5355" w:rsidRDefault="00AA6452" w:rsidP="00AA6452">
      <w:pPr>
        <w:pStyle w:val="BBTitle"/>
        <w:spacing w:after="120"/>
      </w:pPr>
      <w:r w:rsidRPr="003C5355">
        <w:t>Synergies en matière de prévention et de répression du trafic et</w:t>
      </w:r>
      <w:r w:rsidR="00080129" w:rsidRPr="003C5355">
        <w:t> </w:t>
      </w:r>
      <w:r w:rsidRPr="003C5355">
        <w:t xml:space="preserve">du commerce illicite de produits chimiques et de déchets dangereux </w:t>
      </w:r>
    </w:p>
    <w:p w:rsidR="002C5AAD" w:rsidRPr="003C5355" w:rsidRDefault="002C5AAD" w:rsidP="00BB704A">
      <w:pPr>
        <w:pStyle w:val="CH2"/>
        <w:keepLines/>
        <w:tabs>
          <w:tab w:val="right" w:pos="851"/>
          <w:tab w:val="left" w:pos="1247"/>
          <w:tab w:val="left" w:pos="1814"/>
          <w:tab w:val="left" w:pos="2381"/>
          <w:tab w:val="left" w:pos="2948"/>
          <w:tab w:val="left" w:pos="3515"/>
          <w:tab w:val="left" w:pos="4082"/>
        </w:tabs>
        <w:suppressAutoHyphens/>
        <w:spacing w:before="80"/>
        <w:ind w:right="284" w:hanging="1247"/>
        <w:outlineLvl w:val="9"/>
        <w:rPr>
          <w:lang w:val="fr-FR"/>
        </w:rPr>
      </w:pPr>
      <w:r w:rsidRPr="003C5355">
        <w:rPr>
          <w:lang w:val="fr-FR"/>
        </w:rPr>
        <w:tab/>
      </w:r>
      <w:r w:rsidRPr="003C5355">
        <w:rPr>
          <w:lang w:val="fr-FR"/>
        </w:rPr>
        <w:tab/>
      </w:r>
      <w:r w:rsidRPr="003C5355">
        <w:rPr>
          <w:lang w:val="fr-FR"/>
        </w:rPr>
        <w:tab/>
        <w:t>Note du Secrétariat</w:t>
      </w:r>
    </w:p>
    <w:p w:rsidR="0059421C" w:rsidRPr="003C5355" w:rsidRDefault="00EB2312" w:rsidP="00EB2312">
      <w:pPr>
        <w:pStyle w:val="CH1"/>
        <w:keepNext w:val="0"/>
        <w:tabs>
          <w:tab w:val="right" w:pos="851"/>
          <w:tab w:val="left" w:pos="1247"/>
          <w:tab w:val="left" w:pos="1814"/>
          <w:tab w:val="left" w:pos="2381"/>
          <w:tab w:val="left" w:pos="2948"/>
          <w:tab w:val="left" w:pos="3515"/>
        </w:tabs>
        <w:suppressAutoHyphens/>
        <w:spacing w:after="120"/>
        <w:ind w:left="1247" w:right="284" w:hanging="1247"/>
        <w:outlineLvl w:val="9"/>
        <w:rPr>
          <w:lang w:val="fr-FR"/>
        </w:rPr>
      </w:pPr>
      <w:r w:rsidRPr="003C5355">
        <w:rPr>
          <w:lang w:val="fr-FR"/>
        </w:rPr>
        <w:tab/>
        <w:t>I.</w:t>
      </w:r>
      <w:r w:rsidRPr="003C5355">
        <w:rPr>
          <w:lang w:val="fr-FR"/>
        </w:rPr>
        <w:tab/>
        <w:t>Introduction</w:t>
      </w:r>
    </w:p>
    <w:p w:rsidR="00A231D7" w:rsidRPr="003C5355" w:rsidRDefault="007675B6" w:rsidP="00E94109">
      <w:pPr>
        <w:spacing w:after="120"/>
        <w:ind w:left="1247"/>
        <w:rPr>
          <w:sz w:val="20"/>
          <w:lang w:val="fr-FR"/>
        </w:rPr>
      </w:pPr>
      <w:r w:rsidRPr="003C5355">
        <w:rPr>
          <w:sz w:val="20"/>
          <w:lang w:val="fr-FR"/>
        </w:rPr>
        <w:t>1.</w:t>
      </w:r>
      <w:r w:rsidRPr="003C5355">
        <w:rPr>
          <w:sz w:val="20"/>
          <w:lang w:val="fr-FR"/>
        </w:rPr>
        <w:tab/>
        <w:t xml:space="preserve">Dans sa décision BC-12/8, intitulée </w:t>
      </w:r>
      <w:r w:rsidR="00A0523F" w:rsidRPr="003C5355">
        <w:rPr>
          <w:sz w:val="20"/>
          <w:lang w:val="fr-FR"/>
        </w:rPr>
        <w:t>« </w:t>
      </w:r>
      <w:r w:rsidRPr="003C5355">
        <w:rPr>
          <w:sz w:val="20"/>
          <w:lang w:val="fr-FR"/>
        </w:rPr>
        <w:t>Législations nationales, notifications, application de la</w:t>
      </w:r>
      <w:r w:rsidR="00080129" w:rsidRPr="003C5355">
        <w:rPr>
          <w:sz w:val="20"/>
          <w:lang w:val="fr-FR"/>
        </w:rPr>
        <w:t> </w:t>
      </w:r>
      <w:r w:rsidRPr="003C5355">
        <w:rPr>
          <w:sz w:val="20"/>
          <w:lang w:val="fr-FR"/>
        </w:rPr>
        <w:t>Convention et efforts pour lutter contre le trafic illicite</w:t>
      </w:r>
      <w:r w:rsidR="00A0523F" w:rsidRPr="003C5355">
        <w:rPr>
          <w:sz w:val="20"/>
          <w:lang w:val="fr-FR"/>
        </w:rPr>
        <w:t> »</w:t>
      </w:r>
      <w:r w:rsidRPr="003C5355">
        <w:rPr>
          <w:sz w:val="20"/>
          <w:lang w:val="fr-FR"/>
        </w:rPr>
        <w:t xml:space="preserve"> et adoptée à sa douzième réunion, la</w:t>
      </w:r>
      <w:r w:rsidR="00080129" w:rsidRPr="003C5355">
        <w:rPr>
          <w:sz w:val="20"/>
          <w:lang w:val="fr-FR"/>
        </w:rPr>
        <w:t> </w:t>
      </w:r>
      <w:r w:rsidRPr="003C5355">
        <w:rPr>
          <w:sz w:val="20"/>
          <w:lang w:val="fr-FR"/>
        </w:rPr>
        <w:t>Conférence des Parties à la Convention de Bâle sur le contrôle des mouvements transfrontières de déchets dangereux et de leur élimination a pris note de l</w:t>
      </w:r>
      <w:r w:rsidR="003C5355">
        <w:rPr>
          <w:sz w:val="20"/>
          <w:lang w:val="fr-FR"/>
        </w:rPr>
        <w:t>’</w:t>
      </w:r>
      <w:r w:rsidRPr="003C5355">
        <w:rPr>
          <w:sz w:val="20"/>
          <w:lang w:val="fr-FR"/>
        </w:rPr>
        <w:t xml:space="preserve">étude des synergies possibles en matière de </w:t>
      </w:r>
      <w:r w:rsidRPr="003C5355">
        <w:rPr>
          <w:sz w:val="20"/>
          <w:lang w:val="fr-FR"/>
        </w:rPr>
        <w:lastRenderedPageBreak/>
        <w:t>prévention et de répression du trafic et du commerce illicite de produits chimiques et de déchets dangereux</w:t>
      </w:r>
      <w:r w:rsidR="007F20D6" w:rsidRPr="003C5355">
        <w:rPr>
          <w:sz w:val="20"/>
          <w:lang w:val="fr-FR"/>
        </w:rPr>
        <w:t xml:space="preserve"> fondée</w:t>
      </w:r>
      <w:r w:rsidRPr="003C5355">
        <w:rPr>
          <w:sz w:val="20"/>
          <w:lang w:val="fr-FR"/>
        </w:rPr>
        <w:t xml:space="preserve"> sur les enseignements tirés d</w:t>
      </w:r>
      <w:r w:rsidR="007F20D6" w:rsidRPr="003C5355">
        <w:rPr>
          <w:sz w:val="20"/>
          <w:lang w:val="fr-FR"/>
        </w:rPr>
        <w:t>ans le cadre de</w:t>
      </w:r>
      <w:r w:rsidRPr="003C5355">
        <w:rPr>
          <w:sz w:val="20"/>
          <w:lang w:val="fr-FR"/>
        </w:rPr>
        <w:t xml:space="preserve"> la Convention de Bâle</w:t>
      </w:r>
      <w:r w:rsidR="00913F1B" w:rsidRPr="003C5355">
        <w:rPr>
          <w:rStyle w:val="FootnoteReference"/>
          <w:sz w:val="20"/>
          <w:lang w:val="fr-FR"/>
        </w:rPr>
        <w:footnoteReference w:id="4"/>
      </w:r>
      <w:r w:rsidRPr="003C5355">
        <w:rPr>
          <w:sz w:val="20"/>
          <w:lang w:val="fr-FR"/>
        </w:rPr>
        <w:t xml:space="preserve"> et prié le</w:t>
      </w:r>
      <w:r w:rsidR="00080129" w:rsidRPr="003C5355">
        <w:rPr>
          <w:sz w:val="20"/>
          <w:lang w:val="fr-FR"/>
        </w:rPr>
        <w:t> </w:t>
      </w:r>
      <w:r w:rsidRPr="003C5355">
        <w:rPr>
          <w:sz w:val="20"/>
          <w:lang w:val="fr-FR"/>
        </w:rPr>
        <w:t>Secrétariat de transmettre cette étude aux Conférences des Parties à la Convention de Rotterdam sur la procédure de consentement préalable en connaissance de cause applicable à certains produits chimiques et pesticides dangereux qui font l</w:t>
      </w:r>
      <w:r w:rsidR="003C5355">
        <w:rPr>
          <w:sz w:val="20"/>
          <w:lang w:val="fr-FR"/>
        </w:rPr>
        <w:t>’</w:t>
      </w:r>
      <w:r w:rsidRPr="003C5355">
        <w:rPr>
          <w:sz w:val="20"/>
          <w:lang w:val="fr-FR"/>
        </w:rPr>
        <w:t>objet d</w:t>
      </w:r>
      <w:r w:rsidR="003C5355">
        <w:rPr>
          <w:sz w:val="20"/>
          <w:lang w:val="fr-FR"/>
        </w:rPr>
        <w:t>’</w:t>
      </w:r>
      <w:r w:rsidRPr="003C5355">
        <w:rPr>
          <w:sz w:val="20"/>
          <w:lang w:val="fr-FR"/>
        </w:rPr>
        <w:t>un commerce international et à la Convention de Stockholm sur les polluants organiques persistants. L</w:t>
      </w:r>
      <w:r w:rsidR="003C5355">
        <w:rPr>
          <w:sz w:val="20"/>
          <w:lang w:val="fr-FR"/>
        </w:rPr>
        <w:t>’</w:t>
      </w:r>
      <w:r w:rsidRPr="003C5355">
        <w:rPr>
          <w:sz w:val="20"/>
          <w:lang w:val="fr-FR"/>
        </w:rPr>
        <w:t>étude a été établie par le Secrétariat grâce au généreux appui financier apporté par le Gouvernement japonais. Dans cette décision, la Conférence des Parties a également prié le Secrétariat de préparer, pour qu</w:t>
      </w:r>
      <w:r w:rsidR="003C5355">
        <w:rPr>
          <w:sz w:val="20"/>
          <w:lang w:val="fr-FR"/>
        </w:rPr>
        <w:t>’</w:t>
      </w:r>
      <w:r w:rsidRPr="003C5355">
        <w:rPr>
          <w:sz w:val="20"/>
          <w:lang w:val="fr-FR"/>
        </w:rPr>
        <w:t>elle les examine à sa treizième réunion, des recommandations sur les synergies possibles entre les conventions de Bâle, de Rotterdam et de Stockholm en matière de prévention et de répression du trafic et du commerce illicite.</w:t>
      </w:r>
    </w:p>
    <w:p w:rsidR="005B7A43" w:rsidRPr="003C5355" w:rsidRDefault="00913F1B" w:rsidP="00E94109">
      <w:pPr>
        <w:pStyle w:val="paralevel1a"/>
        <w:numPr>
          <w:ilvl w:val="0"/>
          <w:numId w:val="0"/>
        </w:numPr>
        <w:ind w:left="1247"/>
        <w:rPr>
          <w:lang w:val="fr-FR"/>
        </w:rPr>
      </w:pPr>
      <w:r w:rsidRPr="003C5355">
        <w:rPr>
          <w:lang w:val="fr-FR"/>
        </w:rPr>
        <w:t>2.</w:t>
      </w:r>
      <w:r w:rsidRPr="003C5355">
        <w:rPr>
          <w:lang w:val="fr-FR"/>
        </w:rPr>
        <w:tab/>
        <w:t>Les Conférences des Parties aux conventions de Rotterdam et de Stockholm ont examiné l</w:t>
      </w:r>
      <w:r w:rsidR="003C5355">
        <w:rPr>
          <w:lang w:val="fr-FR"/>
        </w:rPr>
        <w:t>’</w:t>
      </w:r>
      <w:r w:rsidRPr="003C5355">
        <w:rPr>
          <w:lang w:val="fr-FR"/>
        </w:rPr>
        <w:t>étude à leur septième réunion et décidé que le Secrétariat élaborerait, pour qu</w:t>
      </w:r>
      <w:r w:rsidR="003C5355">
        <w:rPr>
          <w:lang w:val="fr-FR"/>
        </w:rPr>
        <w:t>’</w:t>
      </w:r>
      <w:r w:rsidRPr="003C5355">
        <w:rPr>
          <w:lang w:val="fr-FR"/>
        </w:rPr>
        <w:t>elles puissent les</w:t>
      </w:r>
      <w:r w:rsidR="00080129" w:rsidRPr="003C5355">
        <w:rPr>
          <w:lang w:val="fr-FR"/>
        </w:rPr>
        <w:t> </w:t>
      </w:r>
      <w:r w:rsidRPr="003C5355">
        <w:rPr>
          <w:lang w:val="fr-FR"/>
        </w:rPr>
        <w:t>examiner à leur huitième réunion, des recommandations sur les synergies possibles entre les</w:t>
      </w:r>
      <w:r w:rsidR="00080129" w:rsidRPr="003C5355">
        <w:rPr>
          <w:lang w:val="fr-FR"/>
        </w:rPr>
        <w:t> </w:t>
      </w:r>
      <w:r w:rsidRPr="003C5355">
        <w:rPr>
          <w:lang w:val="fr-FR"/>
        </w:rPr>
        <w:t>conventions de Bâle, de Rotterdam et de Stockholm en matière de prévention et de répression du trafic et du commerce illicite de produits chimiques et de déchets dangereux</w:t>
      </w:r>
      <w:r w:rsidR="007F20D6" w:rsidRPr="003C5355">
        <w:rPr>
          <w:lang w:val="fr-FR"/>
        </w:rPr>
        <w:t xml:space="preserve"> fondées sur les </w:t>
      </w:r>
      <w:r w:rsidRPr="003C5355">
        <w:rPr>
          <w:lang w:val="fr-FR"/>
        </w:rPr>
        <w:t>enseignements tirés dans le cadre de la Convention de Bâle</w:t>
      </w:r>
      <w:r w:rsidR="005B7A43" w:rsidRPr="003C5355">
        <w:rPr>
          <w:rStyle w:val="FootnoteReference"/>
          <w:lang w:val="fr-FR"/>
        </w:rPr>
        <w:footnoteReference w:id="5"/>
      </w:r>
      <w:r w:rsidRPr="003C5355">
        <w:rPr>
          <w:lang w:val="fr-FR"/>
        </w:rPr>
        <w:t>. Les fonds nécessaires à l</w:t>
      </w:r>
      <w:r w:rsidR="003C5355">
        <w:rPr>
          <w:lang w:val="fr-FR"/>
        </w:rPr>
        <w:t>’</w:t>
      </w:r>
      <w:r w:rsidRPr="003C5355">
        <w:rPr>
          <w:lang w:val="fr-FR"/>
        </w:rPr>
        <w:t>élaboration des recommandations ont été prévus dans le</w:t>
      </w:r>
      <w:r w:rsidR="007F20D6" w:rsidRPr="003C5355">
        <w:rPr>
          <w:lang w:val="fr-FR"/>
        </w:rPr>
        <w:t xml:space="preserve"> programme</w:t>
      </w:r>
      <w:r w:rsidRPr="003C5355">
        <w:rPr>
          <w:lang w:val="fr-FR"/>
        </w:rPr>
        <w:t xml:space="preserve"> de travail et le</w:t>
      </w:r>
      <w:r w:rsidR="007F20D6" w:rsidRPr="003C5355">
        <w:rPr>
          <w:lang w:val="fr-FR"/>
        </w:rPr>
        <w:t xml:space="preserve"> budget</w:t>
      </w:r>
      <w:r w:rsidRPr="003C5355">
        <w:rPr>
          <w:lang w:val="fr-FR"/>
        </w:rPr>
        <w:t xml:space="preserve"> des trois conventions pour l</w:t>
      </w:r>
      <w:r w:rsidR="003C5355">
        <w:rPr>
          <w:lang w:val="fr-FR"/>
        </w:rPr>
        <w:t>’</w:t>
      </w:r>
      <w:r w:rsidRPr="003C5355">
        <w:rPr>
          <w:lang w:val="fr-FR"/>
        </w:rPr>
        <w:t>exercice biennal 2016-2017</w:t>
      </w:r>
      <w:r w:rsidR="00D513DE" w:rsidRPr="003C5355">
        <w:rPr>
          <w:rStyle w:val="FootnoteReference"/>
          <w:lang w:val="fr-FR"/>
        </w:rPr>
        <w:footnoteReference w:id="6"/>
      </w:r>
      <w:r w:rsidRPr="003C5355">
        <w:rPr>
          <w:lang w:val="fr-FR"/>
        </w:rPr>
        <w:t>.</w:t>
      </w:r>
    </w:p>
    <w:p w:rsidR="0059421C" w:rsidRPr="003C5355" w:rsidRDefault="005524EE" w:rsidP="00EB2312">
      <w:pPr>
        <w:pStyle w:val="CH1"/>
        <w:keepLines/>
        <w:tabs>
          <w:tab w:val="right" w:pos="851"/>
          <w:tab w:val="left" w:pos="1247"/>
          <w:tab w:val="left" w:pos="1814"/>
          <w:tab w:val="left" w:pos="2381"/>
          <w:tab w:val="left" w:pos="2948"/>
          <w:tab w:val="left" w:pos="3515"/>
        </w:tabs>
        <w:suppressAutoHyphens/>
        <w:spacing w:after="120"/>
        <w:ind w:left="1247" w:right="284" w:hanging="1247"/>
        <w:outlineLvl w:val="9"/>
        <w:rPr>
          <w:lang w:val="fr-FR"/>
        </w:rPr>
      </w:pPr>
      <w:r w:rsidRPr="003C5355">
        <w:rPr>
          <w:lang w:val="fr-FR"/>
        </w:rPr>
        <w:tab/>
        <w:t>II.</w:t>
      </w:r>
      <w:r w:rsidRPr="003C5355">
        <w:rPr>
          <w:lang w:val="fr-FR"/>
        </w:rPr>
        <w:tab/>
        <w:t>Mise en œuvre</w:t>
      </w:r>
    </w:p>
    <w:p w:rsidR="00782C5B" w:rsidRPr="003C5355" w:rsidRDefault="001E1088" w:rsidP="00E94109">
      <w:pPr>
        <w:pStyle w:val="Normalnumber"/>
        <w:numPr>
          <w:ilvl w:val="0"/>
          <w:numId w:val="17"/>
        </w:numPr>
        <w:tabs>
          <w:tab w:val="clear" w:pos="1247"/>
          <w:tab w:val="clear" w:pos="1814"/>
          <w:tab w:val="clear" w:pos="2381"/>
          <w:tab w:val="clear" w:pos="2948"/>
          <w:tab w:val="clear" w:pos="3515"/>
        </w:tabs>
        <w:ind w:left="1260" w:firstLine="0"/>
        <w:rPr>
          <w:lang w:val="fr-FR"/>
        </w:rPr>
      </w:pPr>
      <w:r w:rsidRPr="003C5355">
        <w:rPr>
          <w:lang w:val="fr-FR"/>
        </w:rPr>
        <w:t>Par la suite, le Secrétariat a cherché à obtenir un financement pour l</w:t>
      </w:r>
      <w:r w:rsidR="003C5355">
        <w:rPr>
          <w:lang w:val="fr-FR"/>
        </w:rPr>
        <w:t>’</w:t>
      </w:r>
      <w:r w:rsidRPr="003C5355">
        <w:rPr>
          <w:lang w:val="fr-FR"/>
        </w:rPr>
        <w:t>élaboration des recommandations</w:t>
      </w:r>
      <w:r w:rsidR="007C0C80" w:rsidRPr="003C5355">
        <w:rPr>
          <w:rStyle w:val="FootnoteReference"/>
          <w:lang w:val="fr-FR"/>
        </w:rPr>
        <w:footnoteReference w:id="7"/>
      </w:r>
      <w:r w:rsidRPr="003C5355">
        <w:rPr>
          <w:lang w:val="fr-FR"/>
        </w:rPr>
        <w:t>. Au 22 septembre 2016 toutefois, aucune contribution financière n</w:t>
      </w:r>
      <w:r w:rsidR="003C5355">
        <w:rPr>
          <w:lang w:val="fr-FR"/>
        </w:rPr>
        <w:t>’</w:t>
      </w:r>
      <w:r w:rsidRPr="003C5355">
        <w:rPr>
          <w:lang w:val="fr-FR"/>
        </w:rPr>
        <w:t>avait été reçue à</w:t>
      </w:r>
      <w:r w:rsidR="00132BEE">
        <w:rPr>
          <w:lang w:val="fr-FR"/>
        </w:rPr>
        <w:t> </w:t>
      </w:r>
      <w:r w:rsidRPr="003C5355">
        <w:rPr>
          <w:lang w:val="fr-FR"/>
        </w:rPr>
        <w:t>cette fin. En conséquence, le Secrétariat a élaboré le projet de décision ci-après, pour examen par les Conférences des Parties, sur la base de l</w:t>
      </w:r>
      <w:r w:rsidR="003C5355">
        <w:rPr>
          <w:lang w:val="fr-FR"/>
        </w:rPr>
        <w:t>’</w:t>
      </w:r>
      <w:r w:rsidRPr="003C5355">
        <w:rPr>
          <w:lang w:val="fr-FR"/>
        </w:rPr>
        <w:t xml:space="preserve">étude visée au paragraphe 1 ci-dessus, qui est reproduite dans le document UNEP/CHW.13/INF/49-UNEP/FAO/RC/COP.8/INF/34-UNEP/POPS/COP.8/INF/51, quelques légères modifications de forme y ayant été apportées. </w:t>
      </w:r>
    </w:p>
    <w:p w:rsidR="009E5CF5" w:rsidRPr="003C5355" w:rsidRDefault="00782C5B" w:rsidP="00E44AF2">
      <w:pPr>
        <w:pStyle w:val="Normalnumber"/>
        <w:numPr>
          <w:ilvl w:val="0"/>
          <w:numId w:val="17"/>
        </w:numPr>
        <w:tabs>
          <w:tab w:val="clear" w:pos="1247"/>
          <w:tab w:val="clear" w:pos="1814"/>
          <w:tab w:val="clear" w:pos="2381"/>
          <w:tab w:val="clear" w:pos="2948"/>
          <w:tab w:val="clear" w:pos="3515"/>
        </w:tabs>
        <w:ind w:left="1260" w:firstLine="0"/>
        <w:rPr>
          <w:lang w:val="fr-FR"/>
        </w:rPr>
      </w:pPr>
      <w:r w:rsidRPr="003C5355">
        <w:rPr>
          <w:lang w:val="fr-FR"/>
        </w:rPr>
        <w:t>L</w:t>
      </w:r>
      <w:r w:rsidR="003C5355">
        <w:rPr>
          <w:lang w:val="fr-FR"/>
        </w:rPr>
        <w:t>’</w:t>
      </w:r>
      <w:r w:rsidRPr="003C5355">
        <w:rPr>
          <w:lang w:val="fr-FR"/>
        </w:rPr>
        <w:t>attention de la Conférence des Parties à la Convention de Bâle est également appelée sur la</w:t>
      </w:r>
      <w:r w:rsidR="00132BEE">
        <w:rPr>
          <w:lang w:val="fr-FR"/>
        </w:rPr>
        <w:t> </w:t>
      </w:r>
      <w:r w:rsidR="00F23192" w:rsidRPr="003C5355">
        <w:rPr>
          <w:lang w:val="fr-FR"/>
        </w:rPr>
        <w:t>note du Secrétariat intitulée « </w:t>
      </w:r>
      <w:r w:rsidRPr="003C5355">
        <w:rPr>
          <w:lang w:val="fr-FR"/>
        </w:rPr>
        <w:t xml:space="preserve">Législations nationales, notifications, </w:t>
      </w:r>
      <w:r w:rsidR="002564DD" w:rsidRPr="003C5355">
        <w:rPr>
          <w:lang w:val="fr-FR"/>
        </w:rPr>
        <w:t>contrôle du respect</w:t>
      </w:r>
      <w:r w:rsidRPr="003C5355">
        <w:rPr>
          <w:lang w:val="fr-FR"/>
        </w:rPr>
        <w:t xml:space="preserve"> de la</w:t>
      </w:r>
      <w:r w:rsidR="00132BEE">
        <w:rPr>
          <w:lang w:val="fr-FR"/>
        </w:rPr>
        <w:t> </w:t>
      </w:r>
      <w:r w:rsidRPr="003C5355">
        <w:rPr>
          <w:lang w:val="fr-FR"/>
        </w:rPr>
        <w:t>Convention de Bâle et lutte contre le trafic</w:t>
      </w:r>
      <w:r w:rsidR="00F23192" w:rsidRPr="003C5355">
        <w:rPr>
          <w:lang w:val="fr-FR"/>
        </w:rPr>
        <w:t> »</w:t>
      </w:r>
      <w:r w:rsidRPr="003C5355">
        <w:rPr>
          <w:lang w:val="fr-FR"/>
        </w:rPr>
        <w:t xml:space="preserve"> (UNEP/CHW.13/10). Par ailleurs, l</w:t>
      </w:r>
      <w:r w:rsidR="003C5355">
        <w:rPr>
          <w:lang w:val="fr-FR"/>
        </w:rPr>
        <w:t>’</w:t>
      </w:r>
      <w:r w:rsidRPr="003C5355">
        <w:rPr>
          <w:lang w:val="fr-FR"/>
        </w:rPr>
        <w:t>attention de la</w:t>
      </w:r>
      <w:r w:rsidR="00132BEE">
        <w:rPr>
          <w:lang w:val="fr-FR"/>
        </w:rPr>
        <w:t> </w:t>
      </w:r>
      <w:r w:rsidRPr="003C5355">
        <w:rPr>
          <w:lang w:val="fr-FR"/>
        </w:rPr>
        <w:t xml:space="preserve">Conférence des Parties à la Convention de Rotterdam est appelée sur la note du Secrétariat relative aux activités proposées pour augmenter le nombre de notifications de mesures de réglementation finales dans le cadre de la Convention de Rotterdam (UNEP/FAO/RC/COP.8/5). </w:t>
      </w:r>
      <w:r w:rsidR="005C33BA" w:rsidRPr="003C5355">
        <w:rPr>
          <w:lang w:val="fr-FR"/>
        </w:rPr>
        <w:t xml:space="preserve">Il convient de noter également les principales constatations, conclusions et recommandations afférentes à la nécessité que les Parties élaborent et renforcent leurs législation et réglementations afin de mettre en œuvre et de faire appliquer la Convention de </w:t>
      </w:r>
      <w:r w:rsidR="007956C9" w:rsidRPr="003C5355">
        <w:rPr>
          <w:lang w:val="fr-FR"/>
        </w:rPr>
        <w:t xml:space="preserve">Stockholm, </w:t>
      </w:r>
      <w:r w:rsidR="005C33BA" w:rsidRPr="003C5355">
        <w:rPr>
          <w:lang w:val="fr-FR"/>
        </w:rPr>
        <w:t xml:space="preserve">lesquelles figurent aux </w:t>
      </w:r>
      <w:r w:rsidR="007956C9" w:rsidRPr="003C5355">
        <w:rPr>
          <w:lang w:val="fr-FR"/>
        </w:rPr>
        <w:t>paragraph</w:t>
      </w:r>
      <w:r w:rsidR="005C33BA" w:rsidRPr="003C5355">
        <w:rPr>
          <w:lang w:val="fr-FR"/>
        </w:rPr>
        <w:t>e</w:t>
      </w:r>
      <w:r w:rsidR="007956C9" w:rsidRPr="003C5355">
        <w:rPr>
          <w:lang w:val="fr-FR"/>
        </w:rPr>
        <w:t xml:space="preserve">s 36, 49, 50, 80 </w:t>
      </w:r>
      <w:r w:rsidR="005C33BA" w:rsidRPr="003C5355">
        <w:rPr>
          <w:lang w:val="fr-FR"/>
        </w:rPr>
        <w:t xml:space="preserve">et </w:t>
      </w:r>
      <w:r w:rsidR="007956C9" w:rsidRPr="003C5355">
        <w:rPr>
          <w:lang w:val="fr-FR"/>
        </w:rPr>
        <w:t xml:space="preserve">136 </w:t>
      </w:r>
      <w:r w:rsidR="005C33BA" w:rsidRPr="003C5355">
        <w:rPr>
          <w:lang w:val="fr-FR"/>
        </w:rPr>
        <w:t>du résumé analytique du rapport sur l</w:t>
      </w:r>
      <w:r w:rsidR="003C5355">
        <w:rPr>
          <w:lang w:val="fr-FR"/>
        </w:rPr>
        <w:t>’</w:t>
      </w:r>
      <w:r w:rsidR="005C33BA" w:rsidRPr="003C5355">
        <w:rPr>
          <w:lang w:val="fr-FR"/>
        </w:rPr>
        <w:t>évaluation de l</w:t>
      </w:r>
      <w:r w:rsidR="003C5355">
        <w:rPr>
          <w:lang w:val="fr-FR"/>
        </w:rPr>
        <w:t>’</w:t>
      </w:r>
      <w:r w:rsidR="005C33BA" w:rsidRPr="003C5355">
        <w:rPr>
          <w:lang w:val="fr-FR"/>
        </w:rPr>
        <w:t xml:space="preserve">efficacité de la </w:t>
      </w:r>
      <w:r w:rsidR="007956C9" w:rsidRPr="003C5355">
        <w:rPr>
          <w:lang w:val="fr-FR"/>
        </w:rPr>
        <w:t xml:space="preserve">Convention (UNEP/POPS/COP.8/22/Add.1), </w:t>
      </w:r>
      <w:r w:rsidR="005C33BA" w:rsidRPr="003C5355">
        <w:rPr>
          <w:lang w:val="fr-FR"/>
        </w:rPr>
        <w:t>ainsi qu</w:t>
      </w:r>
      <w:r w:rsidR="003C5355">
        <w:rPr>
          <w:lang w:val="fr-FR"/>
        </w:rPr>
        <w:t>’</w:t>
      </w:r>
      <w:r w:rsidR="005C33BA" w:rsidRPr="003C5355">
        <w:rPr>
          <w:lang w:val="fr-FR"/>
        </w:rPr>
        <w:t>à la nécessité de former des douaniers</w:t>
      </w:r>
      <w:r w:rsidR="007956C9" w:rsidRPr="003C5355">
        <w:rPr>
          <w:lang w:val="fr-FR"/>
        </w:rPr>
        <w:t xml:space="preserve">, </w:t>
      </w:r>
      <w:r w:rsidR="005C33BA" w:rsidRPr="003C5355">
        <w:rPr>
          <w:lang w:val="fr-FR"/>
        </w:rPr>
        <w:t>indiquée au</w:t>
      </w:r>
      <w:r w:rsidR="007956C9" w:rsidRPr="003C5355">
        <w:rPr>
          <w:lang w:val="fr-FR"/>
        </w:rPr>
        <w:t xml:space="preserve"> paragraph</w:t>
      </w:r>
      <w:r w:rsidR="005C33BA" w:rsidRPr="003C5355">
        <w:rPr>
          <w:lang w:val="fr-FR"/>
        </w:rPr>
        <w:t>e</w:t>
      </w:r>
      <w:r w:rsidR="007956C9" w:rsidRPr="003C5355">
        <w:rPr>
          <w:lang w:val="fr-FR"/>
        </w:rPr>
        <w:t xml:space="preserve"> 50 </w:t>
      </w:r>
      <w:r w:rsidR="005C33BA" w:rsidRPr="003C5355">
        <w:rPr>
          <w:lang w:val="fr-FR"/>
        </w:rPr>
        <w:t>du résumé analytique</w:t>
      </w:r>
      <w:r w:rsidR="007956C9" w:rsidRPr="003C5355">
        <w:rPr>
          <w:lang w:val="fr-FR"/>
        </w:rPr>
        <w:t>.</w:t>
      </w:r>
    </w:p>
    <w:p w:rsidR="0059421C" w:rsidRPr="003C5355" w:rsidRDefault="00F87B00" w:rsidP="004D37D1">
      <w:pPr>
        <w:pStyle w:val="CH1"/>
        <w:keepLines/>
        <w:tabs>
          <w:tab w:val="right" w:pos="851"/>
          <w:tab w:val="left" w:pos="1247"/>
          <w:tab w:val="left" w:pos="1814"/>
          <w:tab w:val="left" w:pos="2381"/>
          <w:tab w:val="left" w:pos="2948"/>
          <w:tab w:val="left" w:pos="3515"/>
        </w:tabs>
        <w:suppressAutoHyphens/>
        <w:spacing w:after="120"/>
        <w:ind w:left="1247" w:right="284" w:hanging="1247"/>
        <w:outlineLvl w:val="9"/>
        <w:rPr>
          <w:lang w:val="fr-FR"/>
        </w:rPr>
      </w:pPr>
      <w:r w:rsidRPr="003C5355">
        <w:rPr>
          <w:lang w:val="fr-FR"/>
        </w:rPr>
        <w:tab/>
        <w:t>III.</w:t>
      </w:r>
      <w:r w:rsidRPr="003C5355">
        <w:rPr>
          <w:lang w:val="fr-FR"/>
        </w:rPr>
        <w:tab/>
        <w:t>Mesure proposée</w:t>
      </w:r>
    </w:p>
    <w:p w:rsidR="00C243E6" w:rsidRPr="003C5355" w:rsidRDefault="00DF78DA" w:rsidP="00E94109">
      <w:pPr>
        <w:pStyle w:val="Normalnumber"/>
        <w:numPr>
          <w:ilvl w:val="0"/>
          <w:numId w:val="17"/>
        </w:numPr>
        <w:tabs>
          <w:tab w:val="clear" w:pos="1247"/>
          <w:tab w:val="clear" w:pos="1814"/>
          <w:tab w:val="clear" w:pos="2381"/>
          <w:tab w:val="clear" w:pos="2948"/>
          <w:tab w:val="clear" w:pos="3515"/>
        </w:tabs>
        <w:ind w:left="1260" w:firstLine="0"/>
        <w:rPr>
          <w:lang w:val="fr-FR"/>
        </w:rPr>
      </w:pPr>
      <w:r w:rsidRPr="003C5355">
        <w:rPr>
          <w:lang w:val="fr-FR"/>
        </w:rPr>
        <w:t>Chacune des trois Conférences des Parties souhaitera peut-être adopter une décision ainsi conçue :</w:t>
      </w:r>
    </w:p>
    <w:p w:rsidR="002C5AAD" w:rsidRPr="003C5355" w:rsidRDefault="00C243E6" w:rsidP="00A31159">
      <w:pPr>
        <w:pStyle w:val="Normal-pool"/>
        <w:tabs>
          <w:tab w:val="clear" w:pos="1247"/>
          <w:tab w:val="clear" w:pos="1814"/>
          <w:tab w:val="clear" w:pos="2381"/>
          <w:tab w:val="clear" w:pos="2948"/>
          <w:tab w:val="clear" w:pos="3515"/>
        </w:tabs>
        <w:spacing w:after="120"/>
        <w:ind w:left="1871" w:firstLine="624"/>
        <w:rPr>
          <w:i/>
          <w:iCs/>
          <w:lang w:val="fr-FR"/>
        </w:rPr>
      </w:pPr>
      <w:r w:rsidRPr="003C5355">
        <w:rPr>
          <w:i/>
          <w:iCs/>
          <w:lang w:val="fr-FR"/>
        </w:rPr>
        <w:t>La Conférence des Parties</w:t>
      </w:r>
      <w:r w:rsidR="007956C9" w:rsidRPr="003C5355">
        <w:rPr>
          <w:i/>
          <w:iCs/>
          <w:lang w:val="fr-FR"/>
        </w:rPr>
        <w:t>,</w:t>
      </w:r>
    </w:p>
    <w:p w:rsidR="007956C9" w:rsidRPr="003C5355" w:rsidRDefault="005C33BA" w:rsidP="005C33BA">
      <w:pPr>
        <w:pStyle w:val="Normal-pool"/>
        <w:tabs>
          <w:tab w:val="clear" w:pos="1247"/>
          <w:tab w:val="clear" w:pos="1814"/>
          <w:tab w:val="clear" w:pos="2381"/>
          <w:tab w:val="clear" w:pos="2948"/>
          <w:tab w:val="clear" w:pos="3515"/>
        </w:tabs>
        <w:spacing w:after="120"/>
        <w:ind w:left="1871" w:firstLine="624"/>
        <w:rPr>
          <w:lang w:val="fr-FR"/>
        </w:rPr>
      </w:pPr>
      <w:r w:rsidRPr="003C5355">
        <w:rPr>
          <w:i/>
          <w:iCs/>
          <w:lang w:val="fr-FR"/>
        </w:rPr>
        <w:t>Constatant</w:t>
      </w:r>
      <w:r w:rsidRPr="003C5355">
        <w:rPr>
          <w:lang w:val="fr-FR"/>
        </w:rPr>
        <w:t xml:space="preserve"> les besoins mentionnés dans sa décision SC</w:t>
      </w:r>
      <w:r w:rsidRPr="003C5355">
        <w:rPr>
          <w:lang w:val="fr-FR"/>
        </w:rPr>
        <w:noBreakHyphen/>
      </w:r>
      <w:proofErr w:type="gramStart"/>
      <w:r w:rsidRPr="003C5355">
        <w:rPr>
          <w:lang w:val="fr-FR"/>
        </w:rPr>
        <w:t>8[</w:t>
      </w:r>
      <w:proofErr w:type="gramEnd"/>
      <w:r w:rsidRPr="003C5355">
        <w:rPr>
          <w:lang w:val="fr-FR"/>
        </w:rPr>
        <w:t>…], qui porte sur l</w:t>
      </w:r>
      <w:r w:rsidR="003C5355">
        <w:rPr>
          <w:lang w:val="fr-FR"/>
        </w:rPr>
        <w:t>’</w:t>
      </w:r>
      <w:r w:rsidRPr="003C5355">
        <w:rPr>
          <w:lang w:val="fr-FR"/>
        </w:rPr>
        <w:t>évaluation de l</w:t>
      </w:r>
      <w:r w:rsidR="003C5355">
        <w:rPr>
          <w:lang w:val="fr-FR"/>
        </w:rPr>
        <w:t>’</w:t>
      </w:r>
      <w:r w:rsidRPr="003C5355">
        <w:rPr>
          <w:lang w:val="fr-FR"/>
        </w:rPr>
        <w:t>efficacité, en ce qu</w:t>
      </w:r>
      <w:r w:rsidR="003C5355">
        <w:rPr>
          <w:lang w:val="fr-FR"/>
        </w:rPr>
        <w:t>’</w:t>
      </w:r>
      <w:r w:rsidRPr="003C5355">
        <w:rPr>
          <w:lang w:val="fr-FR"/>
        </w:rPr>
        <w:t>ils ont trait au renforcement de la législation ou des réglementations relatives à la mise en œuvre et au contrôle du respect de la Convention de Stockholm</w:t>
      </w:r>
      <w:r w:rsidR="007956C9" w:rsidRPr="003C5355">
        <w:rPr>
          <w:rStyle w:val="FootnoteReference"/>
          <w:lang w:val="fr-FR"/>
        </w:rPr>
        <w:footnoteReference w:id="8"/>
      </w:r>
      <w:r w:rsidRPr="003C5355">
        <w:rPr>
          <w:lang w:val="fr-FR"/>
        </w:rPr>
        <w:t>;</w:t>
      </w:r>
    </w:p>
    <w:p w:rsidR="003C5355" w:rsidRPr="003C5355" w:rsidRDefault="003C5355" w:rsidP="005C33BA">
      <w:pPr>
        <w:pStyle w:val="Normal-pool"/>
        <w:tabs>
          <w:tab w:val="clear" w:pos="1247"/>
          <w:tab w:val="clear" w:pos="1814"/>
          <w:tab w:val="clear" w:pos="2381"/>
          <w:tab w:val="clear" w:pos="2948"/>
          <w:tab w:val="clear" w:pos="3515"/>
        </w:tabs>
        <w:spacing w:after="120"/>
        <w:ind w:left="1871" w:firstLine="624"/>
        <w:rPr>
          <w:i/>
          <w:color w:val="FF0000"/>
          <w:lang w:val="fr-FR"/>
        </w:rPr>
      </w:pPr>
      <w:bookmarkStart w:id="0" w:name="_GoBack"/>
      <w:bookmarkEnd w:id="0"/>
    </w:p>
    <w:p w:rsidR="002C5AAD" w:rsidRPr="003C5355" w:rsidRDefault="002C6DD0" w:rsidP="00A31159">
      <w:pPr>
        <w:pStyle w:val="Normalnumber"/>
        <w:tabs>
          <w:tab w:val="clear" w:pos="567"/>
          <w:tab w:val="clear" w:pos="1247"/>
          <w:tab w:val="clear" w:pos="1814"/>
          <w:tab w:val="clear" w:pos="2381"/>
          <w:tab w:val="clear" w:pos="2948"/>
          <w:tab w:val="clear" w:pos="3515"/>
        </w:tabs>
        <w:ind w:left="1871" w:firstLine="624"/>
        <w:rPr>
          <w:lang w:val="fr-FR"/>
        </w:rPr>
      </w:pPr>
      <w:r w:rsidRPr="003C5355">
        <w:rPr>
          <w:i/>
          <w:iCs/>
          <w:lang w:val="fr-FR"/>
        </w:rPr>
        <w:t>Accueille avec intérêt</w:t>
      </w:r>
      <w:r w:rsidRPr="003C5355">
        <w:rPr>
          <w:lang w:val="fr-FR"/>
        </w:rPr>
        <w:t xml:space="preserve"> l</w:t>
      </w:r>
      <w:r w:rsidR="003C5355">
        <w:rPr>
          <w:lang w:val="fr-FR"/>
        </w:rPr>
        <w:t>’</w:t>
      </w:r>
      <w:r w:rsidRPr="003C5355">
        <w:rPr>
          <w:lang w:val="fr-FR"/>
        </w:rPr>
        <w:t xml:space="preserve">étude sur les synergies possibles en matière de prévention et de répression du trafic et du commerce illicite de produits chimiques et de </w:t>
      </w:r>
      <w:r w:rsidRPr="003C5355">
        <w:rPr>
          <w:lang w:val="fr-FR"/>
        </w:rPr>
        <w:lastRenderedPageBreak/>
        <w:t>déchets dangereux</w:t>
      </w:r>
      <w:r w:rsidR="007F20D6" w:rsidRPr="003C5355">
        <w:rPr>
          <w:lang w:val="fr-FR"/>
        </w:rPr>
        <w:t xml:space="preserve"> fondée</w:t>
      </w:r>
      <w:r w:rsidRPr="003C5355">
        <w:rPr>
          <w:lang w:val="fr-FR"/>
        </w:rPr>
        <w:t xml:space="preserve"> sur les enseignements tirés dans le cadre de la </w:t>
      </w:r>
      <w:r w:rsidR="007956C9" w:rsidRPr="003C5355">
        <w:rPr>
          <w:lang w:val="fr-FR"/>
        </w:rPr>
        <w:t>Convention de Bâle sur le contrôle des mouvements transfrontières de déchets dangereux et de leur élimination</w:t>
      </w:r>
      <w:r w:rsidR="00002B5D" w:rsidRPr="003C5355">
        <w:rPr>
          <w:rStyle w:val="FootnoteReference"/>
          <w:lang w:val="fr-FR"/>
        </w:rPr>
        <w:footnoteReference w:id="9"/>
      </w:r>
      <w:r w:rsidRPr="003C5355">
        <w:rPr>
          <w:lang w:val="fr-FR"/>
        </w:rPr>
        <w:t xml:space="preserve">; </w:t>
      </w:r>
    </w:p>
    <w:p w:rsidR="002C5AAD" w:rsidRPr="003C5355" w:rsidRDefault="00773BBB" w:rsidP="00A31159">
      <w:pPr>
        <w:pStyle w:val="Normalnumber"/>
        <w:tabs>
          <w:tab w:val="clear" w:pos="567"/>
          <w:tab w:val="clear" w:pos="1247"/>
          <w:tab w:val="clear" w:pos="1814"/>
          <w:tab w:val="clear" w:pos="2381"/>
          <w:tab w:val="clear" w:pos="2948"/>
          <w:tab w:val="clear" w:pos="3515"/>
        </w:tabs>
        <w:ind w:left="1871" w:firstLine="624"/>
        <w:rPr>
          <w:lang w:val="fr-FR"/>
        </w:rPr>
      </w:pPr>
      <w:r w:rsidRPr="003C5355">
        <w:rPr>
          <w:i/>
          <w:iCs/>
          <w:lang w:val="fr-FR"/>
        </w:rPr>
        <w:t xml:space="preserve">Souligne </w:t>
      </w:r>
      <w:r w:rsidRPr="003C5355">
        <w:rPr>
          <w:lang w:val="fr-FR"/>
        </w:rPr>
        <w:t>qu</w:t>
      </w:r>
      <w:r w:rsidR="003C5355">
        <w:rPr>
          <w:lang w:val="fr-FR"/>
        </w:rPr>
        <w:t>’</w:t>
      </w:r>
      <w:r w:rsidRPr="003C5355">
        <w:rPr>
          <w:lang w:val="fr-FR"/>
        </w:rPr>
        <w:t xml:space="preserve">il importe que les pays disposent de cadres juridiques et institutionnels </w:t>
      </w:r>
      <w:r w:rsidR="007F20D6" w:rsidRPr="003C5355">
        <w:rPr>
          <w:lang w:val="fr-FR"/>
        </w:rPr>
        <w:t xml:space="preserve">leur permettant de </w:t>
      </w:r>
      <w:r w:rsidRPr="003C5355">
        <w:rPr>
          <w:lang w:val="fr-FR"/>
        </w:rPr>
        <w:t xml:space="preserve">prévenir et </w:t>
      </w:r>
      <w:r w:rsidR="007F20D6" w:rsidRPr="003C5355">
        <w:rPr>
          <w:lang w:val="fr-FR"/>
        </w:rPr>
        <w:t xml:space="preserve">de </w:t>
      </w:r>
      <w:r w:rsidRPr="003C5355">
        <w:rPr>
          <w:lang w:val="fr-FR"/>
        </w:rPr>
        <w:t>réprimer le trafic et le commerce illicite de produits chimiques et de déc</w:t>
      </w:r>
      <w:r w:rsidR="007956C9" w:rsidRPr="003C5355">
        <w:rPr>
          <w:lang w:val="fr-FR"/>
        </w:rPr>
        <w:t>hets dangereux dans le cadre de la Convention</w:t>
      </w:r>
      <w:r w:rsidRPr="003C5355">
        <w:rPr>
          <w:lang w:val="fr-FR"/>
        </w:rPr>
        <w:t xml:space="preserve"> de Bâle, de </w:t>
      </w:r>
      <w:r w:rsidR="007956C9" w:rsidRPr="003C5355">
        <w:rPr>
          <w:lang w:val="fr-FR"/>
        </w:rPr>
        <w:t>la</w:t>
      </w:r>
      <w:r w:rsidR="003C5355">
        <w:rPr>
          <w:lang w:val="fr-FR"/>
        </w:rPr>
        <w:t> </w:t>
      </w:r>
      <w:r w:rsidR="007956C9" w:rsidRPr="003C5355">
        <w:rPr>
          <w:lang w:val="fr-FR"/>
        </w:rPr>
        <w:t>Convention de Rotterdam sur la procédure de consentement préalable en connaissance de cause applicable à certains produits chimiques et pesticides dangereux qui font l</w:t>
      </w:r>
      <w:r w:rsidR="003C5355">
        <w:rPr>
          <w:lang w:val="fr-FR"/>
        </w:rPr>
        <w:t>’</w:t>
      </w:r>
      <w:r w:rsidR="007956C9" w:rsidRPr="003C5355">
        <w:rPr>
          <w:lang w:val="fr-FR"/>
        </w:rPr>
        <w:t>objet d</w:t>
      </w:r>
      <w:r w:rsidR="003C5355">
        <w:rPr>
          <w:lang w:val="fr-FR"/>
        </w:rPr>
        <w:t>’</w:t>
      </w:r>
      <w:r w:rsidR="007956C9" w:rsidRPr="003C5355">
        <w:rPr>
          <w:lang w:val="fr-FR"/>
        </w:rPr>
        <w:t xml:space="preserve">un commerce international </w:t>
      </w:r>
      <w:r w:rsidRPr="003C5355">
        <w:rPr>
          <w:lang w:val="fr-FR"/>
        </w:rPr>
        <w:t xml:space="preserve">et de </w:t>
      </w:r>
      <w:r w:rsidR="007956C9" w:rsidRPr="003C5355">
        <w:rPr>
          <w:lang w:val="fr-FR"/>
        </w:rPr>
        <w:t>la Convention de Stockholm sur les polluants organiques persistants</w:t>
      </w:r>
      <w:r w:rsidRPr="003C5355">
        <w:rPr>
          <w:lang w:val="fr-FR"/>
        </w:rPr>
        <w:t>;</w:t>
      </w:r>
    </w:p>
    <w:p w:rsidR="002C5AAD" w:rsidRPr="003C5355" w:rsidRDefault="00773BBB" w:rsidP="00A31159">
      <w:pPr>
        <w:pStyle w:val="Normalnumber"/>
        <w:tabs>
          <w:tab w:val="clear" w:pos="567"/>
          <w:tab w:val="clear" w:pos="1247"/>
          <w:tab w:val="clear" w:pos="1814"/>
          <w:tab w:val="clear" w:pos="2381"/>
          <w:tab w:val="clear" w:pos="2948"/>
          <w:tab w:val="clear" w:pos="3515"/>
        </w:tabs>
        <w:ind w:left="1871" w:firstLine="624"/>
        <w:rPr>
          <w:lang w:val="fr-FR"/>
        </w:rPr>
      </w:pPr>
      <w:r w:rsidRPr="003C5355">
        <w:rPr>
          <w:i/>
          <w:iCs/>
          <w:lang w:val="fr-FR"/>
        </w:rPr>
        <w:t>Engage</w:t>
      </w:r>
      <w:r w:rsidRPr="003C5355">
        <w:rPr>
          <w:lang w:val="fr-FR"/>
        </w:rPr>
        <w:t xml:space="preserve"> les Parties à communiquer au Secrétariat le texte des </w:t>
      </w:r>
      <w:r w:rsidR="007F20D6" w:rsidRPr="003C5355">
        <w:rPr>
          <w:lang w:val="fr-FR"/>
        </w:rPr>
        <w:t>législations</w:t>
      </w:r>
      <w:r w:rsidRPr="003C5355">
        <w:rPr>
          <w:lang w:val="fr-FR"/>
        </w:rPr>
        <w:t xml:space="preserve"> nationales et d</w:t>
      </w:r>
      <w:r w:rsidR="003C5355">
        <w:rPr>
          <w:lang w:val="fr-FR"/>
        </w:rPr>
        <w:t>’</w:t>
      </w:r>
      <w:r w:rsidRPr="003C5355">
        <w:rPr>
          <w:lang w:val="fr-FR"/>
        </w:rPr>
        <w:t>autres mesures qu</w:t>
      </w:r>
      <w:r w:rsidR="003C5355">
        <w:rPr>
          <w:lang w:val="fr-FR"/>
        </w:rPr>
        <w:t>’</w:t>
      </w:r>
      <w:r w:rsidRPr="003C5355">
        <w:rPr>
          <w:lang w:val="fr-FR"/>
        </w:rPr>
        <w:t xml:space="preserve">elles ont adoptées pour mettre en </w:t>
      </w:r>
      <w:r w:rsidR="0057390C" w:rsidRPr="003C5355">
        <w:rPr>
          <w:lang w:val="fr-FR"/>
        </w:rPr>
        <w:t>œuvre</w:t>
      </w:r>
      <w:r w:rsidRPr="003C5355">
        <w:rPr>
          <w:lang w:val="fr-FR"/>
        </w:rPr>
        <w:t xml:space="preserve"> les conventions de Bâle, de Rotterdam et de Stockholm et prie le Secrétariat de publier ces documents sur le site Web des conventions;</w:t>
      </w:r>
    </w:p>
    <w:p w:rsidR="002C5AAD" w:rsidRPr="003C5355" w:rsidRDefault="002B7433" w:rsidP="00A31159">
      <w:pPr>
        <w:pStyle w:val="Normalnumber"/>
        <w:tabs>
          <w:tab w:val="clear" w:pos="567"/>
          <w:tab w:val="clear" w:pos="1247"/>
          <w:tab w:val="clear" w:pos="1814"/>
          <w:tab w:val="clear" w:pos="2381"/>
          <w:tab w:val="clear" w:pos="2948"/>
          <w:tab w:val="clear" w:pos="3515"/>
        </w:tabs>
        <w:ind w:left="1871" w:firstLine="624"/>
        <w:rPr>
          <w:color w:val="000000"/>
          <w:lang w:val="fr-FR"/>
        </w:rPr>
      </w:pPr>
      <w:r w:rsidRPr="003C5355">
        <w:rPr>
          <w:i/>
          <w:iCs/>
          <w:lang w:val="fr-FR"/>
        </w:rPr>
        <w:t>Engage également</w:t>
      </w:r>
      <w:r w:rsidRPr="003C5355">
        <w:rPr>
          <w:lang w:val="fr-FR"/>
        </w:rPr>
        <w:t xml:space="preserve"> les Parties à deux au moins d</w:t>
      </w:r>
      <w:r w:rsidR="003C5355">
        <w:rPr>
          <w:lang w:val="fr-FR"/>
        </w:rPr>
        <w:t>’</w:t>
      </w:r>
      <w:r w:rsidRPr="003C5355">
        <w:rPr>
          <w:lang w:val="fr-FR"/>
        </w:rPr>
        <w:t>entre les conventions de Bâle, de Rotterdam et de Stockholm</w:t>
      </w:r>
      <w:r w:rsidR="007F20D6" w:rsidRPr="003C5355">
        <w:rPr>
          <w:lang w:val="fr-FR"/>
        </w:rPr>
        <w:t> </w:t>
      </w:r>
      <w:r w:rsidRPr="003C5355">
        <w:rPr>
          <w:lang w:val="fr-FR"/>
        </w:rPr>
        <w:t>:</w:t>
      </w:r>
    </w:p>
    <w:p w:rsidR="002C5AAD" w:rsidRPr="003C5355" w:rsidRDefault="00572B22" w:rsidP="00A31159">
      <w:pPr>
        <w:pStyle w:val="Normalnumber"/>
        <w:numPr>
          <w:ilvl w:val="0"/>
          <w:numId w:val="23"/>
        </w:numPr>
        <w:tabs>
          <w:tab w:val="clear" w:pos="567"/>
          <w:tab w:val="clear" w:pos="1247"/>
          <w:tab w:val="clear" w:pos="1814"/>
          <w:tab w:val="clear" w:pos="2381"/>
          <w:tab w:val="clear" w:pos="2948"/>
          <w:tab w:val="clear" w:pos="3515"/>
        </w:tabs>
        <w:ind w:left="1871" w:firstLine="624"/>
        <w:rPr>
          <w:lang w:val="fr-FR"/>
        </w:rPr>
      </w:pPr>
      <w:r w:rsidRPr="003C5355">
        <w:rPr>
          <w:lang w:val="fr-FR"/>
        </w:rPr>
        <w:t>De mettre en place des mécanismes de coordination au niveau national en vue de faciliter l</w:t>
      </w:r>
      <w:r w:rsidR="003C5355">
        <w:rPr>
          <w:lang w:val="fr-FR"/>
        </w:rPr>
        <w:t>’</w:t>
      </w:r>
      <w:r w:rsidRPr="003C5355">
        <w:rPr>
          <w:lang w:val="fr-FR"/>
        </w:rPr>
        <w:t>échange d</w:t>
      </w:r>
      <w:r w:rsidR="003C5355">
        <w:rPr>
          <w:lang w:val="fr-FR"/>
        </w:rPr>
        <w:t>’</w:t>
      </w:r>
      <w:r w:rsidRPr="003C5355">
        <w:rPr>
          <w:lang w:val="fr-FR"/>
        </w:rPr>
        <w:t xml:space="preserve">informations entre les autorités compétentes chargées de la mise en </w:t>
      </w:r>
      <w:r w:rsidR="0057390C" w:rsidRPr="003C5355">
        <w:rPr>
          <w:lang w:val="fr-FR"/>
        </w:rPr>
        <w:t>œuvre</w:t>
      </w:r>
      <w:r w:rsidRPr="003C5355">
        <w:rPr>
          <w:lang w:val="fr-FR"/>
        </w:rPr>
        <w:t xml:space="preserve"> et </w:t>
      </w:r>
      <w:r w:rsidR="002564DD" w:rsidRPr="003C5355">
        <w:rPr>
          <w:lang w:val="fr-FR"/>
        </w:rPr>
        <w:t>du contrôle du respect</w:t>
      </w:r>
      <w:r w:rsidRPr="003C5355">
        <w:rPr>
          <w:lang w:val="fr-FR"/>
        </w:rPr>
        <w:t xml:space="preserve"> des dispositions des conventions réglementant l</w:t>
      </w:r>
      <w:r w:rsidR="003C5355">
        <w:rPr>
          <w:lang w:val="fr-FR"/>
        </w:rPr>
        <w:t>’</w:t>
      </w:r>
      <w:r w:rsidRPr="003C5355">
        <w:rPr>
          <w:lang w:val="fr-FR"/>
        </w:rPr>
        <w:t>exportation et l</w:t>
      </w:r>
      <w:r w:rsidR="003C5355">
        <w:rPr>
          <w:lang w:val="fr-FR"/>
        </w:rPr>
        <w:t>’</w:t>
      </w:r>
      <w:r w:rsidRPr="003C5355">
        <w:rPr>
          <w:lang w:val="fr-FR"/>
        </w:rPr>
        <w:t>importation des produits chimiques et des déchets visés dans les conventions;</w:t>
      </w:r>
    </w:p>
    <w:p w:rsidR="002C5AAD" w:rsidRPr="003C5355" w:rsidRDefault="00572B22" w:rsidP="00A31159">
      <w:pPr>
        <w:pStyle w:val="Normalnumber"/>
        <w:numPr>
          <w:ilvl w:val="0"/>
          <w:numId w:val="23"/>
        </w:numPr>
        <w:tabs>
          <w:tab w:val="clear" w:pos="567"/>
          <w:tab w:val="clear" w:pos="1247"/>
          <w:tab w:val="clear" w:pos="1814"/>
          <w:tab w:val="clear" w:pos="2381"/>
          <w:tab w:val="clear" w:pos="2948"/>
          <w:tab w:val="clear" w:pos="3515"/>
        </w:tabs>
        <w:ind w:left="1871" w:firstLine="624"/>
        <w:rPr>
          <w:lang w:val="fr-FR"/>
        </w:rPr>
      </w:pPr>
      <w:r w:rsidRPr="003C5355">
        <w:rPr>
          <w:lang w:val="fr-FR"/>
        </w:rPr>
        <w:t>D</w:t>
      </w:r>
      <w:r w:rsidR="003C5355">
        <w:rPr>
          <w:lang w:val="fr-FR"/>
        </w:rPr>
        <w:t>’</w:t>
      </w:r>
      <w:r w:rsidRPr="003C5355">
        <w:rPr>
          <w:lang w:val="fr-FR"/>
        </w:rPr>
        <w:t xml:space="preserve">examiner, </w:t>
      </w:r>
      <w:r w:rsidR="007F20D6" w:rsidRPr="003C5355">
        <w:rPr>
          <w:lang w:val="fr-FR"/>
        </w:rPr>
        <w:t>par le biais</w:t>
      </w:r>
      <w:r w:rsidRPr="003C5355">
        <w:rPr>
          <w:lang w:val="fr-FR"/>
        </w:rPr>
        <w:t xml:space="preserve"> de ces mécanismes de coordination, les enseignements tirés </w:t>
      </w:r>
      <w:r w:rsidR="007F20D6" w:rsidRPr="003C5355">
        <w:rPr>
          <w:lang w:val="fr-FR"/>
        </w:rPr>
        <w:t xml:space="preserve">dans le cadre </w:t>
      </w:r>
      <w:r w:rsidRPr="003C5355">
        <w:rPr>
          <w:lang w:val="fr-FR"/>
        </w:rPr>
        <w:t xml:space="preserve">de chaque convention qui pourraient concourir à la mise en </w:t>
      </w:r>
      <w:r w:rsidR="0057390C" w:rsidRPr="003C5355">
        <w:rPr>
          <w:lang w:val="fr-FR"/>
        </w:rPr>
        <w:t>œuvre</w:t>
      </w:r>
      <w:r w:rsidR="002564DD" w:rsidRPr="003C5355">
        <w:rPr>
          <w:lang w:val="fr-FR"/>
        </w:rPr>
        <w:t xml:space="preserve"> et au contrôle du respect </w:t>
      </w:r>
      <w:r w:rsidRPr="003C5355">
        <w:rPr>
          <w:lang w:val="fr-FR"/>
        </w:rPr>
        <w:t xml:space="preserve">des autres, et de modifier en conséquence leurs cadres juridiques et institutionnels; </w:t>
      </w:r>
    </w:p>
    <w:p w:rsidR="002C5AAD" w:rsidRPr="003C5355" w:rsidRDefault="00D968B3" w:rsidP="00A31159">
      <w:pPr>
        <w:pStyle w:val="Normalnumber"/>
        <w:tabs>
          <w:tab w:val="clear" w:pos="567"/>
          <w:tab w:val="clear" w:pos="1247"/>
          <w:tab w:val="clear" w:pos="1814"/>
          <w:tab w:val="clear" w:pos="2381"/>
          <w:tab w:val="clear" w:pos="2948"/>
          <w:tab w:val="clear" w:pos="3515"/>
        </w:tabs>
        <w:ind w:left="1871" w:firstLine="624"/>
        <w:rPr>
          <w:lang w:val="fr-FR"/>
        </w:rPr>
      </w:pPr>
      <w:r w:rsidRPr="003C5355">
        <w:rPr>
          <w:i/>
          <w:iCs/>
          <w:lang w:val="fr-FR"/>
        </w:rPr>
        <w:t xml:space="preserve">Invite </w:t>
      </w:r>
      <w:r w:rsidRPr="003C5355">
        <w:rPr>
          <w:lang w:val="fr-FR"/>
        </w:rPr>
        <w:t>les Parties à communiquer aux autres Parties, par l</w:t>
      </w:r>
      <w:r w:rsidR="003C5355">
        <w:rPr>
          <w:lang w:val="fr-FR"/>
        </w:rPr>
        <w:t>’</w:t>
      </w:r>
      <w:r w:rsidRPr="003C5355">
        <w:rPr>
          <w:lang w:val="fr-FR"/>
        </w:rPr>
        <w:t>intermédiaire du Secrétariat</w:t>
      </w:r>
      <w:r w:rsidR="008F4B08" w:rsidRPr="003C5355">
        <w:rPr>
          <w:lang w:val="fr-FR"/>
        </w:rPr>
        <w:t> </w:t>
      </w:r>
      <w:r w:rsidRPr="003C5355">
        <w:rPr>
          <w:lang w:val="fr-FR"/>
        </w:rPr>
        <w:t>:</w:t>
      </w:r>
    </w:p>
    <w:p w:rsidR="002C5AAD" w:rsidRPr="003C5355" w:rsidRDefault="00572B22" w:rsidP="00A31159">
      <w:pPr>
        <w:pStyle w:val="Normalnumber"/>
        <w:numPr>
          <w:ilvl w:val="0"/>
          <w:numId w:val="24"/>
        </w:numPr>
        <w:tabs>
          <w:tab w:val="clear" w:pos="567"/>
          <w:tab w:val="clear" w:pos="1247"/>
          <w:tab w:val="clear" w:pos="1814"/>
          <w:tab w:val="clear" w:pos="2381"/>
          <w:tab w:val="clear" w:pos="2948"/>
          <w:tab w:val="clear" w:pos="3515"/>
        </w:tabs>
        <w:ind w:left="1871" w:firstLine="624"/>
        <w:rPr>
          <w:lang w:val="fr-FR"/>
        </w:rPr>
      </w:pPr>
      <w:r w:rsidRPr="003C5355">
        <w:rPr>
          <w:lang w:val="fr-FR"/>
        </w:rPr>
        <w:t>Leur</w:t>
      </w:r>
      <w:r w:rsidR="008F4B08" w:rsidRPr="003C5355">
        <w:rPr>
          <w:lang w:val="fr-FR"/>
        </w:rPr>
        <w:t>s données d</w:t>
      </w:r>
      <w:r w:rsidR="003C5355">
        <w:rPr>
          <w:lang w:val="fr-FR"/>
        </w:rPr>
        <w:t>’</w:t>
      </w:r>
      <w:r w:rsidRPr="003C5355">
        <w:rPr>
          <w:lang w:val="fr-FR"/>
        </w:rPr>
        <w:t xml:space="preserve">expérience, conformément aux paragraphes 2 et 3 ci-dessus; </w:t>
      </w:r>
    </w:p>
    <w:p w:rsidR="002C5AAD" w:rsidRPr="003C5355" w:rsidRDefault="00E44AF2" w:rsidP="00A31159">
      <w:pPr>
        <w:pStyle w:val="Normalnumber"/>
        <w:numPr>
          <w:ilvl w:val="0"/>
          <w:numId w:val="24"/>
        </w:numPr>
        <w:tabs>
          <w:tab w:val="clear" w:pos="567"/>
          <w:tab w:val="clear" w:pos="1247"/>
          <w:tab w:val="clear" w:pos="1814"/>
          <w:tab w:val="clear" w:pos="2381"/>
          <w:tab w:val="clear" w:pos="2948"/>
          <w:tab w:val="clear" w:pos="3515"/>
        </w:tabs>
        <w:ind w:left="1871" w:firstLine="624"/>
        <w:rPr>
          <w:lang w:val="fr-FR"/>
        </w:rPr>
      </w:pPr>
      <w:r w:rsidRPr="003C5355">
        <w:rPr>
          <w:lang w:val="fr-FR"/>
        </w:rPr>
        <w:t>Des informations sur les cas de commerce illicite de produits chimiques et de déchets dangereux;</w:t>
      </w:r>
    </w:p>
    <w:p w:rsidR="002C5AAD" w:rsidRPr="003C5355" w:rsidRDefault="00D968B3" w:rsidP="00A31159">
      <w:pPr>
        <w:pStyle w:val="Normalnumber"/>
        <w:tabs>
          <w:tab w:val="clear" w:pos="567"/>
          <w:tab w:val="clear" w:pos="1247"/>
          <w:tab w:val="clear" w:pos="1814"/>
          <w:tab w:val="clear" w:pos="2381"/>
          <w:tab w:val="clear" w:pos="2948"/>
          <w:tab w:val="clear" w:pos="3515"/>
        </w:tabs>
        <w:ind w:left="1871" w:firstLine="624"/>
        <w:rPr>
          <w:lang w:val="fr-FR"/>
        </w:rPr>
      </w:pPr>
      <w:r w:rsidRPr="003C5355">
        <w:rPr>
          <w:i/>
          <w:iCs/>
          <w:lang w:val="fr-FR"/>
        </w:rPr>
        <w:t xml:space="preserve">Invite </w:t>
      </w:r>
      <w:r w:rsidRPr="003C5355">
        <w:rPr>
          <w:lang w:val="fr-FR"/>
        </w:rPr>
        <w:t xml:space="preserve">les organisations membres du Programme </w:t>
      </w:r>
      <w:proofErr w:type="spellStart"/>
      <w:r w:rsidRPr="003C5355">
        <w:rPr>
          <w:lang w:val="fr-FR"/>
        </w:rPr>
        <w:t>interorganisations</w:t>
      </w:r>
      <w:proofErr w:type="spellEnd"/>
      <w:r w:rsidRPr="003C5355">
        <w:rPr>
          <w:lang w:val="fr-FR"/>
        </w:rPr>
        <w:t xml:space="preserve"> pour la</w:t>
      </w:r>
      <w:r w:rsidR="00EE724E">
        <w:rPr>
          <w:lang w:val="fr-FR"/>
        </w:rPr>
        <w:t> </w:t>
      </w:r>
      <w:r w:rsidRPr="003C5355">
        <w:rPr>
          <w:lang w:val="fr-FR"/>
        </w:rPr>
        <w:t>gestion rationnelle des produits chimiques, les centres régionaux de la Convention de Bâle et de la Convention de Stockholm, l</w:t>
      </w:r>
      <w:r w:rsidR="003C5355">
        <w:rPr>
          <w:lang w:val="fr-FR"/>
        </w:rPr>
        <w:t>’</w:t>
      </w:r>
      <w:r w:rsidRPr="003C5355">
        <w:rPr>
          <w:lang w:val="fr-FR"/>
        </w:rPr>
        <w:t>Organisation internationale de police criminelle, l</w:t>
      </w:r>
      <w:r w:rsidR="003C5355">
        <w:rPr>
          <w:lang w:val="fr-FR"/>
        </w:rPr>
        <w:t>’</w:t>
      </w:r>
      <w:r w:rsidRPr="003C5355">
        <w:rPr>
          <w:lang w:val="fr-FR"/>
        </w:rPr>
        <w:t>Organisation mondiale des douanes et les réseaux de mise en application mondiaux et régionaux à lui communiquer, par l</w:t>
      </w:r>
      <w:r w:rsidR="003C5355">
        <w:rPr>
          <w:lang w:val="fr-FR"/>
        </w:rPr>
        <w:t>’</w:t>
      </w:r>
      <w:r w:rsidRPr="003C5355">
        <w:rPr>
          <w:lang w:val="fr-FR"/>
        </w:rPr>
        <w:t>intermédiaire du Secrétariat, des informations sur les</w:t>
      </w:r>
      <w:r w:rsidR="00EE724E">
        <w:rPr>
          <w:lang w:val="fr-FR"/>
        </w:rPr>
        <w:t> </w:t>
      </w:r>
      <w:r w:rsidRPr="003C5355">
        <w:rPr>
          <w:lang w:val="fr-FR"/>
        </w:rPr>
        <w:t>activités qu</w:t>
      </w:r>
      <w:r w:rsidR="003C5355">
        <w:rPr>
          <w:lang w:val="fr-FR"/>
        </w:rPr>
        <w:t>’</w:t>
      </w:r>
      <w:r w:rsidRPr="003C5355">
        <w:rPr>
          <w:lang w:val="fr-FR"/>
        </w:rPr>
        <w:t xml:space="preserve">ils mènent en vue de prévenir et </w:t>
      </w:r>
      <w:r w:rsidR="008F4B08" w:rsidRPr="003C5355">
        <w:rPr>
          <w:lang w:val="fr-FR"/>
        </w:rPr>
        <w:t xml:space="preserve">de </w:t>
      </w:r>
      <w:r w:rsidRPr="003C5355">
        <w:rPr>
          <w:lang w:val="fr-FR"/>
        </w:rPr>
        <w:t>réprimer le trafic et le commerce illicite de produits chimiques et de déchets dangereux ainsi que les enseignements tirés de ces activités, pour qu</w:t>
      </w:r>
      <w:r w:rsidR="003C5355">
        <w:rPr>
          <w:lang w:val="fr-FR"/>
        </w:rPr>
        <w:t>’</w:t>
      </w:r>
      <w:r w:rsidRPr="003C5355">
        <w:rPr>
          <w:lang w:val="fr-FR"/>
        </w:rPr>
        <w:t>elle les examine à sa prochaine réunion;</w:t>
      </w:r>
    </w:p>
    <w:p w:rsidR="002C5AAD" w:rsidRPr="003C5355" w:rsidRDefault="002C5AAD" w:rsidP="00A31159">
      <w:pPr>
        <w:pStyle w:val="Normalnumber"/>
        <w:tabs>
          <w:tab w:val="clear" w:pos="567"/>
          <w:tab w:val="clear" w:pos="1247"/>
          <w:tab w:val="clear" w:pos="1814"/>
          <w:tab w:val="clear" w:pos="2381"/>
          <w:tab w:val="clear" w:pos="2948"/>
          <w:tab w:val="clear" w:pos="3515"/>
        </w:tabs>
        <w:ind w:left="1871" w:firstLine="624"/>
        <w:rPr>
          <w:i/>
          <w:color w:val="000000"/>
          <w:sz w:val="22"/>
          <w:lang w:val="fr-FR"/>
        </w:rPr>
      </w:pPr>
      <w:r w:rsidRPr="003C5355">
        <w:rPr>
          <w:i/>
          <w:iCs/>
          <w:lang w:val="fr-FR"/>
        </w:rPr>
        <w:t xml:space="preserve">Prie </w:t>
      </w:r>
      <w:r w:rsidR="008F4B08" w:rsidRPr="003C5355">
        <w:rPr>
          <w:lang w:val="fr-FR"/>
        </w:rPr>
        <w:t>le Secrétariat </w:t>
      </w:r>
      <w:r w:rsidRPr="003C5355">
        <w:rPr>
          <w:lang w:val="fr-FR"/>
        </w:rPr>
        <w:t>:</w:t>
      </w:r>
    </w:p>
    <w:p w:rsidR="002C5AAD" w:rsidRPr="003C5355" w:rsidRDefault="00B44649" w:rsidP="00A31159">
      <w:pPr>
        <w:pStyle w:val="Normalnumber"/>
        <w:numPr>
          <w:ilvl w:val="0"/>
          <w:numId w:val="25"/>
        </w:numPr>
        <w:tabs>
          <w:tab w:val="clear" w:pos="567"/>
          <w:tab w:val="clear" w:pos="1247"/>
          <w:tab w:val="clear" w:pos="1814"/>
          <w:tab w:val="clear" w:pos="2381"/>
          <w:tab w:val="clear" w:pos="2948"/>
          <w:tab w:val="clear" w:pos="3515"/>
        </w:tabs>
        <w:ind w:left="1871" w:firstLine="624"/>
        <w:rPr>
          <w:lang w:val="fr-FR"/>
        </w:rPr>
      </w:pPr>
      <w:r w:rsidRPr="003C5355">
        <w:rPr>
          <w:lang w:val="fr-FR"/>
        </w:rPr>
        <w:t>De demander aux Parties et autres intéressés, sous réserve de la disponibilité de ressources, de formuler des observations concernant les domaines communs aux trois conventions dans lesquels la clarté juridique pourrait être améliorée dans l</w:t>
      </w:r>
      <w:r w:rsidR="003C5355">
        <w:rPr>
          <w:lang w:val="fr-FR"/>
        </w:rPr>
        <w:t>’</w:t>
      </w:r>
      <w:r w:rsidRPr="003C5355">
        <w:rPr>
          <w:lang w:val="fr-FR"/>
        </w:rPr>
        <w:t>intérêt de la prévention et de la répression du trafic et du commerce illicite de produits chimiques et de déchets dangereux et, à partir de ces observations, d</w:t>
      </w:r>
      <w:r w:rsidR="003C5355">
        <w:rPr>
          <w:lang w:val="fr-FR"/>
        </w:rPr>
        <w:t>’</w:t>
      </w:r>
      <w:r w:rsidRPr="003C5355">
        <w:rPr>
          <w:lang w:val="fr-FR"/>
        </w:rPr>
        <w:t>établir un rapport, y compris des recommandations, qu</w:t>
      </w:r>
      <w:r w:rsidR="003C5355">
        <w:rPr>
          <w:lang w:val="fr-FR"/>
        </w:rPr>
        <w:t>’</w:t>
      </w:r>
      <w:r w:rsidRPr="003C5355">
        <w:rPr>
          <w:lang w:val="fr-FR"/>
        </w:rPr>
        <w:t>elle pourrait examiner et éventuellement adopter à sa prochaine réunion;</w:t>
      </w:r>
    </w:p>
    <w:p w:rsidR="002C5AAD" w:rsidRPr="003C5355" w:rsidRDefault="00A9688C" w:rsidP="00A31159">
      <w:pPr>
        <w:pStyle w:val="Normalnumber"/>
        <w:numPr>
          <w:ilvl w:val="0"/>
          <w:numId w:val="25"/>
        </w:numPr>
        <w:tabs>
          <w:tab w:val="clear" w:pos="567"/>
          <w:tab w:val="clear" w:pos="1247"/>
          <w:tab w:val="clear" w:pos="1814"/>
          <w:tab w:val="clear" w:pos="2381"/>
          <w:tab w:val="clear" w:pos="2948"/>
          <w:tab w:val="clear" w:pos="3515"/>
        </w:tabs>
        <w:ind w:left="1871" w:firstLine="624"/>
        <w:rPr>
          <w:lang w:val="fr-FR"/>
        </w:rPr>
      </w:pPr>
      <w:r w:rsidRPr="003C5355">
        <w:rPr>
          <w:lang w:val="fr-FR"/>
        </w:rPr>
        <w:t xml:space="preserve">De </w:t>
      </w:r>
      <w:r w:rsidR="008F4B08" w:rsidRPr="003C5355">
        <w:rPr>
          <w:lang w:val="fr-FR"/>
        </w:rPr>
        <w:t>donner</w:t>
      </w:r>
      <w:r w:rsidRPr="003C5355">
        <w:rPr>
          <w:lang w:val="fr-FR"/>
        </w:rPr>
        <w:t xml:space="preserve"> aux Parties, à leur demande et dans la limite des ressources disponibles, des conseils juridiques et techniques concernant des questions afférentes à la mise en </w:t>
      </w:r>
      <w:r w:rsidR="0057390C" w:rsidRPr="003C5355">
        <w:rPr>
          <w:lang w:val="fr-FR"/>
        </w:rPr>
        <w:t>œuvre</w:t>
      </w:r>
      <w:r w:rsidR="002564DD" w:rsidRPr="003C5355">
        <w:rPr>
          <w:lang w:val="fr-FR"/>
        </w:rPr>
        <w:t xml:space="preserve"> et au contrôle du respect </w:t>
      </w:r>
      <w:r w:rsidRPr="003C5355">
        <w:rPr>
          <w:lang w:val="fr-FR"/>
        </w:rPr>
        <w:t>des dispositions des conventions de Bâle, de Rotterdam et de Stockholm réglementant l</w:t>
      </w:r>
      <w:r w:rsidR="003C5355">
        <w:rPr>
          <w:lang w:val="fr-FR"/>
        </w:rPr>
        <w:t>’</w:t>
      </w:r>
      <w:r w:rsidRPr="003C5355">
        <w:rPr>
          <w:lang w:val="fr-FR"/>
        </w:rPr>
        <w:t>exportation et l</w:t>
      </w:r>
      <w:r w:rsidR="003C5355">
        <w:rPr>
          <w:lang w:val="fr-FR"/>
        </w:rPr>
        <w:t>’</w:t>
      </w:r>
      <w:r w:rsidRPr="003C5355">
        <w:rPr>
          <w:lang w:val="fr-FR"/>
        </w:rPr>
        <w:t>importation des produits chimiques et déchets visés dans les trois conventions, notamment à l</w:t>
      </w:r>
      <w:r w:rsidR="003C5355">
        <w:rPr>
          <w:lang w:val="fr-FR"/>
        </w:rPr>
        <w:t>’</w:t>
      </w:r>
      <w:r w:rsidRPr="003C5355">
        <w:rPr>
          <w:lang w:val="fr-FR"/>
        </w:rPr>
        <w:t>élaboration et la mise à jour de la législation nationale ou d</w:t>
      </w:r>
      <w:r w:rsidR="003C5355">
        <w:rPr>
          <w:lang w:val="fr-FR"/>
        </w:rPr>
        <w:t>’</w:t>
      </w:r>
      <w:r w:rsidRPr="003C5355">
        <w:rPr>
          <w:lang w:val="fr-FR"/>
        </w:rPr>
        <w:t>autres mesures;</w:t>
      </w:r>
    </w:p>
    <w:p w:rsidR="002C5AAD" w:rsidRPr="003C5355" w:rsidRDefault="00A9688C" w:rsidP="00A31159">
      <w:pPr>
        <w:pStyle w:val="Normalnumber"/>
        <w:numPr>
          <w:ilvl w:val="0"/>
          <w:numId w:val="25"/>
        </w:numPr>
        <w:tabs>
          <w:tab w:val="clear" w:pos="567"/>
          <w:tab w:val="clear" w:pos="1247"/>
          <w:tab w:val="clear" w:pos="1814"/>
          <w:tab w:val="clear" w:pos="2381"/>
          <w:tab w:val="clear" w:pos="2948"/>
          <w:tab w:val="clear" w:pos="3515"/>
        </w:tabs>
        <w:ind w:left="1871" w:firstLine="624"/>
        <w:rPr>
          <w:lang w:val="fr-FR"/>
        </w:rPr>
      </w:pPr>
      <w:r w:rsidRPr="003C5355">
        <w:rPr>
          <w:lang w:val="fr-FR"/>
        </w:rPr>
        <w:t xml:space="preserve">De concevoir des exemples de transposition </w:t>
      </w:r>
      <w:r w:rsidR="008F4B08" w:rsidRPr="003C5355">
        <w:rPr>
          <w:lang w:val="fr-FR"/>
        </w:rPr>
        <w:t xml:space="preserve">dans les cadres juridiques nationaux </w:t>
      </w:r>
      <w:r w:rsidRPr="003C5355">
        <w:rPr>
          <w:lang w:val="fr-FR"/>
        </w:rPr>
        <w:t>des dispositions des conventions de Bâle, de Rotterdam et de Stockholm et d</w:t>
      </w:r>
      <w:r w:rsidR="003C5355">
        <w:rPr>
          <w:lang w:val="fr-FR"/>
        </w:rPr>
        <w:t>’</w:t>
      </w:r>
      <w:r w:rsidRPr="003C5355">
        <w:rPr>
          <w:lang w:val="fr-FR"/>
        </w:rPr>
        <w:t>organiser des activités de formation, sous réserve de la disponibilité de ressources et en collaboration avec des partenaires, afin d</w:t>
      </w:r>
      <w:r w:rsidR="003C5355">
        <w:rPr>
          <w:lang w:val="fr-FR"/>
        </w:rPr>
        <w:t>’</w:t>
      </w:r>
      <w:r w:rsidRPr="003C5355">
        <w:rPr>
          <w:lang w:val="fr-FR"/>
        </w:rPr>
        <w:t>aider les Parties, en particulier celles qui sont des pays en développement ou en transition, à élaborer une législation nationale et d</w:t>
      </w:r>
      <w:r w:rsidR="003C5355">
        <w:rPr>
          <w:lang w:val="fr-FR"/>
        </w:rPr>
        <w:t>’</w:t>
      </w:r>
      <w:r w:rsidRPr="003C5355">
        <w:rPr>
          <w:lang w:val="fr-FR"/>
        </w:rPr>
        <w:t xml:space="preserve">autres mesures permettant de mettre en </w:t>
      </w:r>
      <w:r w:rsidR="0057390C" w:rsidRPr="003C5355">
        <w:rPr>
          <w:lang w:val="fr-FR"/>
        </w:rPr>
        <w:t>œuvre</w:t>
      </w:r>
      <w:r w:rsidRPr="003C5355">
        <w:rPr>
          <w:lang w:val="fr-FR"/>
        </w:rPr>
        <w:t xml:space="preserve"> et de faire appliquer les dispositions des conventions réglementant l</w:t>
      </w:r>
      <w:r w:rsidR="003C5355">
        <w:rPr>
          <w:lang w:val="fr-FR"/>
        </w:rPr>
        <w:t>’</w:t>
      </w:r>
      <w:r w:rsidRPr="003C5355">
        <w:rPr>
          <w:lang w:val="fr-FR"/>
        </w:rPr>
        <w:t>exportation et l</w:t>
      </w:r>
      <w:r w:rsidR="003C5355">
        <w:rPr>
          <w:lang w:val="fr-FR"/>
        </w:rPr>
        <w:t>’</w:t>
      </w:r>
      <w:r w:rsidRPr="003C5355">
        <w:rPr>
          <w:lang w:val="fr-FR"/>
        </w:rPr>
        <w:t>importation des produits chimiques et déchets visés par les</w:t>
      </w:r>
      <w:r w:rsidR="00EE724E">
        <w:rPr>
          <w:lang w:val="fr-FR"/>
        </w:rPr>
        <w:t> </w:t>
      </w:r>
      <w:r w:rsidRPr="003C5355">
        <w:rPr>
          <w:lang w:val="fr-FR"/>
        </w:rPr>
        <w:t>conventions;</w:t>
      </w:r>
    </w:p>
    <w:p w:rsidR="002C5AAD" w:rsidRPr="003C5355" w:rsidRDefault="0042428F" w:rsidP="00A31159">
      <w:pPr>
        <w:pStyle w:val="Normalnumber"/>
        <w:numPr>
          <w:ilvl w:val="0"/>
          <w:numId w:val="25"/>
        </w:numPr>
        <w:tabs>
          <w:tab w:val="clear" w:pos="567"/>
          <w:tab w:val="clear" w:pos="1247"/>
          <w:tab w:val="clear" w:pos="1814"/>
          <w:tab w:val="clear" w:pos="2381"/>
          <w:tab w:val="clear" w:pos="2948"/>
          <w:tab w:val="clear" w:pos="3515"/>
        </w:tabs>
        <w:ind w:left="1871" w:firstLine="624"/>
        <w:rPr>
          <w:lang w:val="fr-FR"/>
        </w:rPr>
      </w:pPr>
      <w:r w:rsidRPr="003C5355">
        <w:rPr>
          <w:lang w:val="fr-FR"/>
        </w:rPr>
        <w:t>De lui présenter un rapport sur l</w:t>
      </w:r>
      <w:r w:rsidR="003C5355">
        <w:rPr>
          <w:lang w:val="fr-FR"/>
        </w:rPr>
        <w:t>’</w:t>
      </w:r>
      <w:r w:rsidRPr="003C5355">
        <w:rPr>
          <w:lang w:val="fr-FR"/>
        </w:rPr>
        <w:t>application de la présente décision à</w:t>
      </w:r>
      <w:r w:rsidR="00EE724E">
        <w:rPr>
          <w:lang w:val="fr-FR"/>
        </w:rPr>
        <w:t> </w:t>
      </w:r>
      <w:r w:rsidRPr="003C5355">
        <w:rPr>
          <w:lang w:val="fr-FR"/>
        </w:rPr>
        <w:t>sa</w:t>
      </w:r>
      <w:r w:rsidR="00EE724E">
        <w:rPr>
          <w:lang w:val="fr-FR"/>
        </w:rPr>
        <w:t> </w:t>
      </w:r>
      <w:r w:rsidRPr="003C5355">
        <w:rPr>
          <w:lang w:val="fr-FR"/>
        </w:rPr>
        <w:t>prochaine réunion.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F0578B" w:rsidRPr="003C5355" w:rsidTr="00BB704A">
        <w:tc>
          <w:tcPr>
            <w:tcW w:w="1942" w:type="dxa"/>
          </w:tcPr>
          <w:p w:rsidR="002C5AAD" w:rsidRPr="003C5355" w:rsidRDefault="002C5AAD" w:rsidP="00BB704A">
            <w:pPr>
              <w:spacing w:before="520"/>
              <w:rPr>
                <w:szCs w:val="22"/>
                <w:lang w:val="fr-FR"/>
              </w:rPr>
            </w:pPr>
          </w:p>
        </w:tc>
        <w:tc>
          <w:tcPr>
            <w:tcW w:w="1942" w:type="dxa"/>
          </w:tcPr>
          <w:p w:rsidR="002C5AAD" w:rsidRPr="003C5355" w:rsidRDefault="002C5AAD" w:rsidP="00BB704A">
            <w:pPr>
              <w:spacing w:before="520"/>
              <w:rPr>
                <w:szCs w:val="22"/>
                <w:lang w:val="fr-FR"/>
              </w:rPr>
            </w:pPr>
          </w:p>
        </w:tc>
        <w:tc>
          <w:tcPr>
            <w:tcW w:w="1942" w:type="dxa"/>
            <w:tcBorders>
              <w:bottom w:val="single" w:sz="4" w:space="0" w:color="auto"/>
            </w:tcBorders>
          </w:tcPr>
          <w:p w:rsidR="002C5AAD" w:rsidRPr="003C5355" w:rsidRDefault="002C5AAD" w:rsidP="00BB704A">
            <w:pPr>
              <w:spacing w:before="520"/>
              <w:rPr>
                <w:szCs w:val="22"/>
                <w:lang w:val="fr-FR"/>
              </w:rPr>
            </w:pPr>
          </w:p>
        </w:tc>
        <w:tc>
          <w:tcPr>
            <w:tcW w:w="1943" w:type="dxa"/>
          </w:tcPr>
          <w:p w:rsidR="002C5AAD" w:rsidRPr="003C5355" w:rsidRDefault="002C5AAD" w:rsidP="00BB704A">
            <w:pPr>
              <w:spacing w:before="520"/>
              <w:rPr>
                <w:szCs w:val="22"/>
                <w:lang w:val="fr-FR"/>
              </w:rPr>
            </w:pPr>
          </w:p>
        </w:tc>
        <w:tc>
          <w:tcPr>
            <w:tcW w:w="1943" w:type="dxa"/>
          </w:tcPr>
          <w:p w:rsidR="002C5AAD" w:rsidRPr="003C5355" w:rsidRDefault="002C5AAD" w:rsidP="00BB704A">
            <w:pPr>
              <w:spacing w:before="520"/>
              <w:rPr>
                <w:szCs w:val="22"/>
                <w:lang w:val="fr-FR"/>
              </w:rPr>
            </w:pPr>
          </w:p>
        </w:tc>
      </w:tr>
    </w:tbl>
    <w:p w:rsidR="00966BF4" w:rsidRPr="003C5355" w:rsidRDefault="00966BF4">
      <w:pPr>
        <w:tabs>
          <w:tab w:val="left" w:pos="6656"/>
        </w:tabs>
        <w:rPr>
          <w:lang w:val="fr-FR"/>
        </w:rPr>
      </w:pPr>
    </w:p>
    <w:sectPr w:rsidR="00966BF4" w:rsidRPr="003C5355" w:rsidSect="009D093A">
      <w:headerReference w:type="even" r:id="rId15"/>
      <w:headerReference w:type="default" r:id="rId16"/>
      <w:footerReference w:type="even" r:id="rId17"/>
      <w:footerReference w:type="default" r:id="rId18"/>
      <w:footerReference w:type="first" r:id="rId19"/>
      <w:footnotePr>
        <w:numRestart w:val="eachSect"/>
      </w:footnotePr>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29" w:rsidRDefault="00080129">
      <w:r>
        <w:separator/>
      </w:r>
    </w:p>
  </w:endnote>
  <w:endnote w:type="continuationSeparator" w:id="0">
    <w:p w:rsidR="00080129" w:rsidRDefault="0008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GillSans Light">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29" w:rsidRPr="00126A72" w:rsidRDefault="00080129" w:rsidP="00126A72">
    <w:pPr>
      <w:pStyle w:val="Footer"/>
      <w:spacing w:before="60" w:after="120"/>
      <w:rPr>
        <w:b/>
        <w:bCs/>
        <w:sz w:val="18"/>
        <w:szCs w:val="18"/>
      </w:rPr>
    </w:pPr>
    <w:r w:rsidRPr="00126A72">
      <w:rPr>
        <w:b/>
        <w:bCs/>
        <w:sz w:val="18"/>
        <w:szCs w:val="18"/>
      </w:rPr>
      <w:fldChar w:fldCharType="begin"/>
    </w:r>
    <w:r w:rsidRPr="00126A72">
      <w:rPr>
        <w:b/>
        <w:bCs/>
        <w:sz w:val="18"/>
        <w:szCs w:val="18"/>
      </w:rPr>
      <w:instrText xml:space="preserve"> PAGE   \* MERGEFORMAT </w:instrText>
    </w:r>
    <w:r w:rsidRPr="00126A72">
      <w:rPr>
        <w:b/>
        <w:bCs/>
        <w:sz w:val="18"/>
        <w:szCs w:val="18"/>
      </w:rPr>
      <w:fldChar w:fldCharType="separate"/>
    </w:r>
    <w:r w:rsidR="00473539">
      <w:rPr>
        <w:b/>
        <w:bCs/>
        <w:noProof/>
        <w:sz w:val="18"/>
        <w:szCs w:val="18"/>
      </w:rPr>
      <w:t>2</w:t>
    </w:r>
    <w:r w:rsidRPr="00126A72">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29" w:rsidRPr="00126A72" w:rsidRDefault="00080129" w:rsidP="00126A72">
    <w:pPr>
      <w:pStyle w:val="Footer"/>
      <w:spacing w:before="60" w:after="120"/>
      <w:jc w:val="right"/>
      <w:rPr>
        <w:b/>
        <w:bCs/>
        <w:sz w:val="18"/>
        <w:szCs w:val="18"/>
      </w:rPr>
    </w:pPr>
    <w:r w:rsidRPr="00126A72">
      <w:rPr>
        <w:b/>
        <w:bCs/>
        <w:sz w:val="18"/>
        <w:szCs w:val="18"/>
      </w:rPr>
      <w:fldChar w:fldCharType="begin"/>
    </w:r>
    <w:r w:rsidRPr="00126A72">
      <w:rPr>
        <w:b/>
        <w:bCs/>
        <w:sz w:val="18"/>
        <w:szCs w:val="18"/>
      </w:rPr>
      <w:instrText xml:space="preserve"> PAGE   \* MERGEFORMAT </w:instrText>
    </w:r>
    <w:r w:rsidRPr="00126A72">
      <w:rPr>
        <w:b/>
        <w:bCs/>
        <w:sz w:val="18"/>
        <w:szCs w:val="18"/>
      </w:rPr>
      <w:fldChar w:fldCharType="separate"/>
    </w:r>
    <w:r w:rsidR="00473539">
      <w:rPr>
        <w:b/>
        <w:bCs/>
        <w:noProof/>
        <w:sz w:val="18"/>
        <w:szCs w:val="18"/>
      </w:rPr>
      <w:t>3</w:t>
    </w:r>
    <w:r w:rsidRPr="00126A72">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29" w:rsidRDefault="00080129" w:rsidP="00BB704A">
    <w:pPr>
      <w:pStyle w:val="Normal-pool"/>
    </w:pPr>
    <w:r>
      <w:rPr>
        <w:lang w:val="fr-FR"/>
      </w:rPr>
      <w:t>K1609695</w:t>
    </w:r>
    <w:r>
      <w:rPr>
        <w:lang w:val="fr-FR"/>
      </w:rPr>
      <w:tab/>
      <w:t>251116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29" w:rsidRPr="00BB704A" w:rsidRDefault="00080129" w:rsidP="00BB704A">
      <w:pPr>
        <w:spacing w:before="60"/>
        <w:ind w:left="624"/>
        <w:rPr>
          <w:sz w:val="18"/>
          <w:szCs w:val="18"/>
        </w:rPr>
      </w:pPr>
      <w:r w:rsidRPr="00BB704A">
        <w:rPr>
          <w:sz w:val="18"/>
          <w:szCs w:val="18"/>
        </w:rPr>
        <w:separator/>
      </w:r>
    </w:p>
  </w:footnote>
  <w:footnote w:type="continuationSeparator" w:id="0">
    <w:p w:rsidR="00080129" w:rsidRDefault="00080129">
      <w:r>
        <w:continuationSeparator/>
      </w:r>
    </w:p>
  </w:footnote>
  <w:footnote w:id="1">
    <w:p w:rsidR="00080129" w:rsidRPr="0057390C" w:rsidRDefault="00080129" w:rsidP="00A0523F">
      <w:pPr>
        <w:pStyle w:val="FootnoteText"/>
        <w:ind w:left="1276"/>
        <w:rPr>
          <w:sz w:val="18"/>
          <w:szCs w:val="18"/>
          <w:lang w:val="en-US"/>
        </w:rPr>
      </w:pPr>
      <w:r w:rsidRPr="0057390C">
        <w:rPr>
          <w:rStyle w:val="FootnoteReference"/>
          <w:sz w:val="18"/>
          <w:szCs w:val="18"/>
        </w:rPr>
        <w:t>*</w:t>
      </w:r>
      <w:r w:rsidRPr="0057390C">
        <w:rPr>
          <w:sz w:val="18"/>
          <w:szCs w:val="18"/>
        </w:rPr>
        <w:t xml:space="preserve"> </w:t>
      </w:r>
      <w:r w:rsidRPr="002564DD">
        <w:rPr>
          <w:sz w:val="18"/>
          <w:szCs w:val="18"/>
          <w:lang w:val="en-US"/>
        </w:rPr>
        <w:t>UNEP/CHW.13/1</w:t>
      </w:r>
      <w:r w:rsidRPr="0057390C">
        <w:rPr>
          <w:sz w:val="18"/>
          <w:szCs w:val="18"/>
          <w:lang w:val="en-US"/>
        </w:rPr>
        <w:t xml:space="preserve">. </w:t>
      </w:r>
    </w:p>
  </w:footnote>
  <w:footnote w:id="2">
    <w:p w:rsidR="00080129" w:rsidRPr="0057390C" w:rsidRDefault="00080129" w:rsidP="00A0523F">
      <w:pPr>
        <w:pStyle w:val="FootnoteText"/>
        <w:ind w:left="1276"/>
        <w:rPr>
          <w:sz w:val="18"/>
          <w:szCs w:val="18"/>
          <w:lang w:val="en-US"/>
        </w:rPr>
      </w:pPr>
      <w:r w:rsidRPr="0057390C">
        <w:rPr>
          <w:rStyle w:val="FootnoteReference"/>
          <w:sz w:val="18"/>
          <w:szCs w:val="18"/>
        </w:rPr>
        <w:t>**</w:t>
      </w:r>
      <w:r w:rsidRPr="0057390C">
        <w:rPr>
          <w:sz w:val="18"/>
          <w:szCs w:val="18"/>
        </w:rPr>
        <w:t xml:space="preserve"> </w:t>
      </w:r>
      <w:r w:rsidRPr="002564DD">
        <w:rPr>
          <w:sz w:val="18"/>
          <w:szCs w:val="18"/>
          <w:lang w:val="en-US"/>
        </w:rPr>
        <w:t>UNEP/FAO/RC/COP.8/1.</w:t>
      </w:r>
    </w:p>
  </w:footnote>
  <w:footnote w:id="3">
    <w:p w:rsidR="00080129" w:rsidRPr="0057390C" w:rsidRDefault="00080129" w:rsidP="00A0523F">
      <w:pPr>
        <w:pStyle w:val="FootnoteText"/>
        <w:ind w:left="1276"/>
        <w:rPr>
          <w:sz w:val="18"/>
          <w:szCs w:val="18"/>
          <w:lang w:val="en-US"/>
        </w:rPr>
      </w:pPr>
      <w:r w:rsidRPr="0057390C">
        <w:rPr>
          <w:rStyle w:val="FootnoteReference"/>
          <w:sz w:val="18"/>
          <w:szCs w:val="18"/>
          <w:lang w:val="en-US"/>
        </w:rPr>
        <w:t>***</w:t>
      </w:r>
      <w:r w:rsidRPr="0057390C">
        <w:rPr>
          <w:sz w:val="18"/>
          <w:szCs w:val="18"/>
          <w:lang w:val="en-US"/>
        </w:rPr>
        <w:t xml:space="preserve"> UNEP/POPS/COP.8/1.</w:t>
      </w:r>
    </w:p>
  </w:footnote>
  <w:footnote w:id="4">
    <w:p w:rsidR="00080129" w:rsidRPr="0057390C" w:rsidRDefault="00080129" w:rsidP="00BB704A">
      <w:pPr>
        <w:pStyle w:val="FootnoteText"/>
        <w:spacing w:before="20" w:after="40"/>
        <w:ind w:left="1247"/>
        <w:rPr>
          <w:sz w:val="18"/>
          <w:szCs w:val="18"/>
        </w:rPr>
      </w:pPr>
      <w:r w:rsidRPr="0057390C">
        <w:rPr>
          <w:rStyle w:val="FootnoteReference"/>
          <w:sz w:val="18"/>
          <w:szCs w:val="18"/>
          <w:lang w:val="fr-FR"/>
        </w:rPr>
        <w:footnoteRef/>
      </w:r>
      <w:r w:rsidRPr="0057390C">
        <w:rPr>
          <w:sz w:val="18"/>
          <w:szCs w:val="18"/>
          <w:lang w:val="en-US"/>
        </w:rPr>
        <w:t xml:space="preserve"> UNEP/CHW.12/INF/51.</w:t>
      </w:r>
    </w:p>
  </w:footnote>
  <w:footnote w:id="5">
    <w:p w:rsidR="00080129" w:rsidRPr="0057390C" w:rsidRDefault="00080129" w:rsidP="00BB704A">
      <w:pPr>
        <w:pStyle w:val="BBTitle"/>
        <w:keepNext w:val="0"/>
        <w:keepLines w:val="0"/>
        <w:tabs>
          <w:tab w:val="clear" w:pos="1247"/>
          <w:tab w:val="left" w:pos="1276"/>
        </w:tabs>
        <w:spacing w:before="20" w:after="40"/>
        <w:ind w:right="0"/>
        <w:rPr>
          <w:b w:val="0"/>
          <w:sz w:val="18"/>
          <w:szCs w:val="18"/>
        </w:rPr>
      </w:pPr>
      <w:r w:rsidRPr="0057390C">
        <w:rPr>
          <w:rStyle w:val="FootnoteReference"/>
          <w:b w:val="0"/>
          <w:sz w:val="18"/>
          <w:szCs w:val="18"/>
        </w:rPr>
        <w:footnoteRef/>
      </w:r>
      <w:r w:rsidRPr="0057390C">
        <w:rPr>
          <w:b w:val="0"/>
          <w:sz w:val="18"/>
          <w:szCs w:val="18"/>
        </w:rPr>
        <w:t xml:space="preserve"> UNEP/FAO/RC/COP.7/21, par. 2</w:t>
      </w:r>
      <w:r>
        <w:rPr>
          <w:b w:val="0"/>
          <w:sz w:val="18"/>
          <w:szCs w:val="18"/>
        </w:rPr>
        <w:t>58, et UNEP/POPS/COP.7/36, par. </w:t>
      </w:r>
      <w:r w:rsidRPr="0057390C">
        <w:rPr>
          <w:b w:val="0"/>
          <w:sz w:val="18"/>
          <w:szCs w:val="18"/>
        </w:rPr>
        <w:t>330.</w:t>
      </w:r>
    </w:p>
  </w:footnote>
  <w:footnote w:id="6">
    <w:p w:rsidR="00080129" w:rsidRPr="0057390C" w:rsidRDefault="00080129" w:rsidP="00D513DE">
      <w:pPr>
        <w:pStyle w:val="FootnoteText"/>
        <w:tabs>
          <w:tab w:val="left" w:pos="1276"/>
        </w:tabs>
        <w:spacing w:before="20" w:after="40"/>
        <w:ind w:left="1247"/>
        <w:rPr>
          <w:sz w:val="18"/>
          <w:szCs w:val="18"/>
          <w:lang w:val="fr-FR"/>
        </w:rPr>
      </w:pPr>
      <w:r w:rsidRPr="0057390C">
        <w:rPr>
          <w:sz w:val="18"/>
          <w:szCs w:val="18"/>
          <w:vertAlign w:val="superscript"/>
          <w:lang w:val="fr-FR"/>
        </w:rPr>
        <w:footnoteRef/>
      </w:r>
      <w:r w:rsidRPr="0057390C">
        <w:rPr>
          <w:sz w:val="18"/>
          <w:szCs w:val="18"/>
          <w:lang w:val="fr-FR"/>
        </w:rPr>
        <w:t xml:space="preserve"> Décisions BC-12/25, RC-7/15 et SC-7/33. </w:t>
      </w:r>
    </w:p>
  </w:footnote>
  <w:footnote w:id="7">
    <w:p w:rsidR="00080129" w:rsidRPr="0057390C" w:rsidRDefault="00080129" w:rsidP="00BB704A">
      <w:pPr>
        <w:pStyle w:val="FootnoteText"/>
        <w:tabs>
          <w:tab w:val="left" w:pos="1276"/>
        </w:tabs>
        <w:spacing w:before="20" w:after="40"/>
        <w:ind w:left="1247"/>
        <w:rPr>
          <w:sz w:val="18"/>
          <w:szCs w:val="18"/>
          <w:lang w:val="fr-FR"/>
        </w:rPr>
      </w:pPr>
      <w:r w:rsidRPr="0057390C">
        <w:rPr>
          <w:rStyle w:val="FootnoteReference"/>
          <w:sz w:val="18"/>
          <w:szCs w:val="18"/>
          <w:lang w:val="fr-FR"/>
        </w:rPr>
        <w:footnoteRef/>
      </w:r>
      <w:r w:rsidRPr="0057390C">
        <w:rPr>
          <w:sz w:val="18"/>
          <w:szCs w:val="18"/>
          <w:lang w:val="fr-FR"/>
        </w:rPr>
        <w:t xml:space="preserve"> Voir le document de réflexion consultable à l</w:t>
      </w:r>
      <w:r>
        <w:rPr>
          <w:sz w:val="18"/>
          <w:szCs w:val="18"/>
          <w:lang w:val="fr-FR"/>
        </w:rPr>
        <w:t>’</w:t>
      </w:r>
      <w:r w:rsidRPr="0057390C">
        <w:rPr>
          <w:sz w:val="18"/>
          <w:szCs w:val="18"/>
          <w:lang w:val="fr-FR"/>
        </w:rPr>
        <w:t>adresse suivante</w:t>
      </w:r>
      <w:r>
        <w:rPr>
          <w:sz w:val="18"/>
          <w:szCs w:val="18"/>
          <w:lang w:val="fr-FR"/>
        </w:rPr>
        <w:t> </w:t>
      </w:r>
      <w:r w:rsidRPr="0057390C">
        <w:rPr>
          <w:sz w:val="18"/>
          <w:szCs w:val="18"/>
          <w:lang w:val="fr-FR"/>
        </w:rPr>
        <w:t>: http://synergies.pops.int/Implementation/ResourceMobilization/Contributions/20162017/tabid/4782/language/fr-CH/Default.aspx.</w:t>
      </w:r>
    </w:p>
  </w:footnote>
  <w:footnote w:id="8">
    <w:p w:rsidR="00080129" w:rsidRPr="007956C9" w:rsidRDefault="00080129" w:rsidP="007956C9">
      <w:pPr>
        <w:pStyle w:val="FootnoteText"/>
        <w:tabs>
          <w:tab w:val="left" w:pos="1276"/>
        </w:tabs>
        <w:spacing w:before="20" w:after="40"/>
        <w:ind w:left="1247"/>
        <w:rPr>
          <w:lang w:val="fr-FR"/>
        </w:rPr>
      </w:pPr>
      <w:r w:rsidRPr="001D2D92">
        <w:rPr>
          <w:rStyle w:val="FootnoteReference"/>
          <w:sz w:val="18"/>
          <w:szCs w:val="18"/>
        </w:rPr>
        <w:footnoteRef/>
      </w:r>
      <w:r w:rsidRPr="007956C9">
        <w:rPr>
          <w:rStyle w:val="FootnoteReference"/>
          <w:sz w:val="18"/>
          <w:szCs w:val="18"/>
          <w:lang w:val="fr-FR"/>
        </w:rPr>
        <w:t xml:space="preserve"> </w:t>
      </w:r>
      <w:r>
        <w:rPr>
          <w:sz w:val="18"/>
          <w:szCs w:val="18"/>
          <w:lang w:val="fr-FR"/>
        </w:rPr>
        <w:t xml:space="preserve">Ne s’applique que dans le cas de la </w:t>
      </w:r>
      <w:r w:rsidRPr="007956C9">
        <w:rPr>
          <w:rStyle w:val="FootnoteReference"/>
          <w:sz w:val="18"/>
          <w:szCs w:val="18"/>
          <w:vertAlign w:val="baseline"/>
          <w:lang w:val="fr-FR"/>
        </w:rPr>
        <w:t>d</w:t>
      </w:r>
      <w:r>
        <w:rPr>
          <w:sz w:val="18"/>
          <w:szCs w:val="18"/>
          <w:lang w:val="fr-FR"/>
        </w:rPr>
        <w:t>é</w:t>
      </w:r>
      <w:r w:rsidRPr="007956C9">
        <w:rPr>
          <w:rStyle w:val="FootnoteReference"/>
          <w:sz w:val="18"/>
          <w:szCs w:val="18"/>
          <w:vertAlign w:val="baseline"/>
          <w:lang w:val="fr-FR"/>
        </w:rPr>
        <w:t xml:space="preserve">cision </w:t>
      </w:r>
      <w:r>
        <w:rPr>
          <w:rStyle w:val="FootnoteReference"/>
          <w:sz w:val="18"/>
          <w:szCs w:val="18"/>
          <w:vertAlign w:val="baseline"/>
          <w:lang w:val="fr-FR"/>
        </w:rPr>
        <w:t xml:space="preserve">devant être examinée par </w:t>
      </w:r>
      <w:r w:rsidRPr="007956C9">
        <w:rPr>
          <w:rStyle w:val="FootnoteReference"/>
          <w:sz w:val="18"/>
          <w:szCs w:val="18"/>
          <w:vertAlign w:val="baseline"/>
          <w:lang w:val="fr-FR"/>
        </w:rPr>
        <w:t>Conf</w:t>
      </w:r>
      <w:r>
        <w:rPr>
          <w:sz w:val="18"/>
          <w:szCs w:val="18"/>
          <w:lang w:val="fr-FR"/>
        </w:rPr>
        <w:t>é</w:t>
      </w:r>
      <w:r w:rsidRPr="007956C9">
        <w:rPr>
          <w:rStyle w:val="FootnoteReference"/>
          <w:sz w:val="18"/>
          <w:szCs w:val="18"/>
          <w:vertAlign w:val="baseline"/>
          <w:lang w:val="fr-FR"/>
        </w:rPr>
        <w:t xml:space="preserve">rence </w:t>
      </w:r>
      <w:r>
        <w:rPr>
          <w:rStyle w:val="FootnoteReference"/>
          <w:sz w:val="18"/>
          <w:szCs w:val="18"/>
          <w:vertAlign w:val="baseline"/>
          <w:lang w:val="fr-FR"/>
        </w:rPr>
        <w:t xml:space="preserve">des </w:t>
      </w:r>
      <w:r w:rsidRPr="007956C9">
        <w:rPr>
          <w:rStyle w:val="FootnoteReference"/>
          <w:sz w:val="18"/>
          <w:szCs w:val="18"/>
          <w:vertAlign w:val="baseline"/>
          <w:lang w:val="fr-FR"/>
        </w:rPr>
        <w:t xml:space="preserve">Parties </w:t>
      </w:r>
      <w:r>
        <w:rPr>
          <w:rStyle w:val="FootnoteReference"/>
          <w:sz w:val="18"/>
          <w:szCs w:val="18"/>
          <w:vertAlign w:val="baseline"/>
          <w:lang w:val="fr-FR"/>
        </w:rPr>
        <w:t xml:space="preserve">à la Convention de </w:t>
      </w:r>
      <w:r w:rsidRPr="007956C9">
        <w:rPr>
          <w:rStyle w:val="FootnoteReference"/>
          <w:sz w:val="18"/>
          <w:szCs w:val="18"/>
          <w:vertAlign w:val="baseline"/>
          <w:lang w:val="fr-FR"/>
        </w:rPr>
        <w:t>Stockholm</w:t>
      </w:r>
      <w:r w:rsidRPr="007956C9">
        <w:rPr>
          <w:sz w:val="18"/>
          <w:szCs w:val="18"/>
          <w:lang w:val="fr-FR"/>
        </w:rPr>
        <w:t>.</w:t>
      </w:r>
      <w:r w:rsidRPr="007956C9">
        <w:rPr>
          <w:lang w:val="fr-FR"/>
        </w:rPr>
        <w:t xml:space="preserve"> </w:t>
      </w:r>
    </w:p>
  </w:footnote>
  <w:footnote w:id="9">
    <w:p w:rsidR="00080129" w:rsidRPr="0057390C" w:rsidRDefault="00080129" w:rsidP="00BB704A">
      <w:pPr>
        <w:pStyle w:val="FootnoteText"/>
        <w:tabs>
          <w:tab w:val="left" w:pos="1276"/>
        </w:tabs>
        <w:spacing w:before="20" w:after="40"/>
        <w:ind w:left="1247"/>
        <w:rPr>
          <w:sz w:val="18"/>
          <w:szCs w:val="18"/>
        </w:rPr>
      </w:pPr>
      <w:r w:rsidRPr="0057390C">
        <w:rPr>
          <w:rStyle w:val="FootnoteReference"/>
          <w:sz w:val="18"/>
          <w:szCs w:val="18"/>
          <w:lang w:val="fr-FR"/>
        </w:rPr>
        <w:footnoteRef/>
      </w:r>
      <w:r w:rsidRPr="0057390C">
        <w:rPr>
          <w:sz w:val="18"/>
          <w:szCs w:val="18"/>
          <w:lang w:val="en-US"/>
        </w:rPr>
        <w:t xml:space="preserve"> UNEP/CHW.13/INF/49-UNEP/FAO/RC/COP.8/INF/34-UNEP/POPS/COP.8/INF/51.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29" w:rsidRPr="00AA43F4" w:rsidRDefault="00080129" w:rsidP="00AA43F4">
    <w:pPr>
      <w:pBdr>
        <w:bottom w:val="single" w:sz="4" w:space="1" w:color="auto"/>
      </w:pBdr>
      <w:rPr>
        <w:b/>
        <w:sz w:val="18"/>
        <w:szCs w:val="18"/>
      </w:rPr>
    </w:pPr>
    <w:r w:rsidRPr="004D37D1">
      <w:rPr>
        <w:b/>
        <w:sz w:val="18"/>
        <w:szCs w:val="18"/>
      </w:rPr>
      <w:t>UNEP/</w:t>
    </w:r>
    <w:r>
      <w:rPr>
        <w:b/>
        <w:sz w:val="18"/>
        <w:szCs w:val="18"/>
      </w:rPr>
      <w:t>CHW.13/24-UNEP/</w:t>
    </w:r>
    <w:r w:rsidRPr="004D37D1">
      <w:rPr>
        <w:b/>
        <w:sz w:val="18"/>
        <w:szCs w:val="18"/>
      </w:rPr>
      <w:t>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23-UNEP/POPS/COP.8/27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29" w:rsidRPr="00AA43F4" w:rsidRDefault="00080129" w:rsidP="00AA43F4">
    <w:pPr>
      <w:pBdr>
        <w:bottom w:val="single" w:sz="4" w:space="1" w:color="auto"/>
      </w:pBdr>
      <w:jc w:val="right"/>
      <w:rPr>
        <w:b/>
        <w:sz w:val="18"/>
        <w:szCs w:val="18"/>
      </w:rPr>
    </w:pPr>
    <w:r>
      <w:rPr>
        <w:b/>
        <w:sz w:val="18"/>
        <w:szCs w:val="18"/>
      </w:rPr>
      <w:t>UNEP/CHW.13/24-</w:t>
    </w:r>
    <w:r w:rsidRPr="004D37D1">
      <w:rPr>
        <w:b/>
        <w:sz w:val="18"/>
        <w:szCs w:val="18"/>
      </w:rPr>
      <w:t>UNEP/FAO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23-UNEP/POPS/COP.8/27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5CED8F0"/>
    <w:lvl w:ilvl="0">
      <w:start w:val="1"/>
      <w:numFmt w:val="decimal"/>
      <w:pStyle w:val="paralevel1a"/>
      <w:lvlText w:val="%1."/>
      <w:lvlJc w:val="left"/>
      <w:pPr>
        <w:tabs>
          <w:tab w:val="num" w:pos="1967"/>
        </w:tabs>
        <w:ind w:left="1247" w:firstLine="0"/>
      </w:pPr>
      <w:rPr>
        <w:rFonts w:hint="default"/>
      </w:rPr>
    </w:lvl>
  </w:abstractNum>
  <w:abstractNum w:abstractNumId="1">
    <w:nsid w:val="032F586A"/>
    <w:multiLevelType w:val="hybridMultilevel"/>
    <w:tmpl w:val="58285630"/>
    <w:lvl w:ilvl="0" w:tplc="4D8E9E66">
      <w:start w:val="1"/>
      <w:numFmt w:val="lowerRoman"/>
      <w:lvlText w:val="%1."/>
      <w:lvlJc w:val="left"/>
      <w:pPr>
        <w:ind w:left="4200" w:hanging="72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
    <w:nsid w:val="03E761BD"/>
    <w:multiLevelType w:val="hybridMultilevel"/>
    <w:tmpl w:val="4E8A9002"/>
    <w:lvl w:ilvl="0" w:tplc="20780514">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nsid w:val="06B04BC6"/>
    <w:multiLevelType w:val="hybridMultilevel"/>
    <w:tmpl w:val="2F2AB744"/>
    <w:lvl w:ilvl="0" w:tplc="320A073E">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
    <w:nsid w:val="0F381586"/>
    <w:multiLevelType w:val="multilevel"/>
    <w:tmpl w:val="E80CC8F6"/>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6">
    <w:nsid w:val="14651100"/>
    <w:multiLevelType w:val="hybridMultilevel"/>
    <w:tmpl w:val="1862BB88"/>
    <w:lvl w:ilvl="0" w:tplc="367806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113A7"/>
    <w:multiLevelType w:val="multilevel"/>
    <w:tmpl w:val="48241D10"/>
    <w:numStyleLink w:val="Normallist"/>
  </w:abstractNum>
  <w:abstractNum w:abstractNumId="8">
    <w:nsid w:val="18CA32F2"/>
    <w:multiLevelType w:val="hybridMultilevel"/>
    <w:tmpl w:val="94F8718C"/>
    <w:lvl w:ilvl="0" w:tplc="BB0E9228">
      <w:start w:val="1"/>
      <w:numFmt w:val="decimal"/>
      <w:lvlText w:val="%1."/>
      <w:lvlJc w:val="left"/>
      <w:pPr>
        <w:tabs>
          <w:tab w:val="num" w:pos="360"/>
        </w:tabs>
        <w:ind w:left="0" w:firstLine="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94461"/>
    <w:multiLevelType w:val="hybridMultilevel"/>
    <w:tmpl w:val="A296DA20"/>
    <w:lvl w:ilvl="0" w:tplc="0409000F">
      <w:start w:val="1"/>
      <w:numFmt w:val="decimal"/>
      <w:lvlText w:val="%1."/>
      <w:lvlJc w:val="left"/>
      <w:pPr>
        <w:tabs>
          <w:tab w:val="num" w:pos="3215"/>
        </w:tabs>
        <w:ind w:left="3215" w:hanging="360"/>
      </w:pPr>
    </w:lvl>
    <w:lvl w:ilvl="1" w:tplc="04090019" w:tentative="1">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0">
    <w:nsid w:val="1D23756C"/>
    <w:multiLevelType w:val="hybridMultilevel"/>
    <w:tmpl w:val="A296DA20"/>
    <w:lvl w:ilvl="0" w:tplc="0409000F">
      <w:start w:val="1"/>
      <w:numFmt w:val="decimal"/>
      <w:lvlText w:val="%1."/>
      <w:lvlJc w:val="left"/>
      <w:pPr>
        <w:tabs>
          <w:tab w:val="num" w:pos="3215"/>
        </w:tabs>
        <w:ind w:left="3215" w:hanging="360"/>
      </w:pPr>
    </w:lvl>
    <w:lvl w:ilvl="1" w:tplc="04090019" w:tentative="1">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1">
    <w:nsid w:val="2FE51AC6"/>
    <w:multiLevelType w:val="multilevel"/>
    <w:tmpl w:val="BCD0EFF0"/>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34222C6C"/>
    <w:multiLevelType w:val="hybridMultilevel"/>
    <w:tmpl w:val="9AAC2772"/>
    <w:lvl w:ilvl="0" w:tplc="4E488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0955A1"/>
    <w:multiLevelType w:val="hybridMultilevel"/>
    <w:tmpl w:val="94F8718C"/>
    <w:lvl w:ilvl="0" w:tplc="BB0E9228">
      <w:start w:val="1"/>
      <w:numFmt w:val="decimal"/>
      <w:lvlText w:val="%1."/>
      <w:lvlJc w:val="left"/>
      <w:pPr>
        <w:tabs>
          <w:tab w:val="num" w:pos="360"/>
        </w:tabs>
        <w:ind w:left="0" w:firstLine="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5">
    <w:nsid w:val="49977054"/>
    <w:multiLevelType w:val="hybridMultilevel"/>
    <w:tmpl w:val="89A02AAC"/>
    <w:lvl w:ilvl="0" w:tplc="2B305FBC">
      <w:start w:val="3"/>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nsid w:val="4B1E02F0"/>
    <w:multiLevelType w:val="hybridMultilevel"/>
    <w:tmpl w:val="02EEBF12"/>
    <w:lvl w:ilvl="0" w:tplc="C1AC66CC">
      <w:start w:val="1"/>
      <w:numFmt w:val="decimal"/>
      <w:lvlText w:val="%1."/>
      <w:lvlJc w:val="left"/>
      <w:pPr>
        <w:tabs>
          <w:tab w:val="num" w:pos="3215"/>
        </w:tabs>
        <w:ind w:left="3215" w:hanging="360"/>
      </w:pPr>
      <w:rPr>
        <w:i w:val="0"/>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7">
    <w:nsid w:val="4B4C7A13"/>
    <w:multiLevelType w:val="multilevel"/>
    <w:tmpl w:val="F7D0B1A0"/>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nsid w:val="56A13927"/>
    <w:multiLevelType w:val="hybridMultilevel"/>
    <w:tmpl w:val="A296DA20"/>
    <w:lvl w:ilvl="0" w:tplc="0409000F">
      <w:start w:val="1"/>
      <w:numFmt w:val="decimal"/>
      <w:lvlText w:val="%1."/>
      <w:lvlJc w:val="left"/>
      <w:pPr>
        <w:tabs>
          <w:tab w:val="num" w:pos="3215"/>
        </w:tabs>
        <w:ind w:left="3215" w:hanging="360"/>
      </w:pPr>
    </w:lvl>
    <w:lvl w:ilvl="1" w:tplc="04090019" w:tentative="1">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20">
    <w:nsid w:val="70AB0D3A"/>
    <w:multiLevelType w:val="hybridMultilevel"/>
    <w:tmpl w:val="7B5CE9C2"/>
    <w:lvl w:ilvl="0" w:tplc="B896F902">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1">
    <w:nsid w:val="7AA14993"/>
    <w:multiLevelType w:val="hybridMultilevel"/>
    <w:tmpl w:val="E0363CAC"/>
    <w:lvl w:ilvl="0" w:tplc="0409000F">
      <w:start w:val="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2">
    <w:nsid w:val="7F070EC8"/>
    <w:multiLevelType w:val="hybridMultilevel"/>
    <w:tmpl w:val="CC16070E"/>
    <w:lvl w:ilvl="0" w:tplc="5784F222">
      <w:start w:val="1"/>
      <w:numFmt w:val="lowerRoman"/>
      <w:lvlText w:val="(%1)"/>
      <w:lvlJc w:val="left"/>
      <w:pPr>
        <w:ind w:left="2952" w:hanging="72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num w:numId="1">
    <w:abstractNumId w:val="5"/>
  </w:num>
  <w:num w:numId="2">
    <w:abstractNumId w:val="13"/>
  </w:num>
  <w:num w:numId="3">
    <w:abstractNumId w:val="18"/>
  </w:num>
  <w:num w:numId="4">
    <w:abstractNumId w:val="7"/>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5">
    <w:abstractNumId w:val="16"/>
  </w:num>
  <w:num w:numId="6">
    <w:abstractNumId w:val="8"/>
  </w:num>
  <w:num w:numId="7">
    <w:abstractNumId w:val="2"/>
  </w:num>
  <w:num w:numId="8">
    <w:abstractNumId w:val="22"/>
  </w:num>
  <w:num w:numId="9">
    <w:abstractNumId w:val="3"/>
  </w:num>
  <w:num w:numId="10">
    <w:abstractNumId w:val="1"/>
  </w:num>
  <w:num w:numId="11">
    <w:abstractNumId w:val="10"/>
  </w:num>
  <w:num w:numId="12">
    <w:abstractNumId w:val="9"/>
  </w:num>
  <w:num w:numId="13">
    <w:abstractNumId w:val="19"/>
  </w:num>
  <w:num w:numId="14">
    <w:abstractNumId w:val="14"/>
  </w:num>
  <w:num w:numId="15">
    <w:abstractNumId w:val="0"/>
  </w:num>
  <w:num w:numId="16">
    <w:abstractNumId w:val="21"/>
  </w:num>
  <w:num w:numId="17">
    <w:abstractNumId w:val="15"/>
    <w:lvlOverride w:ilvl="0">
      <w:lvl w:ilvl="0" w:tplc="2B305FBC">
        <w:start w:val="3"/>
        <w:numFmt w:val="decimal"/>
        <w:lvlText w:val="%1."/>
        <w:lvlJc w:val="left"/>
        <w:pPr>
          <w:ind w:left="2232" w:hanging="360"/>
        </w:pPr>
        <w:rPr>
          <w:rFonts w:hint="default"/>
        </w:rPr>
      </w:lvl>
    </w:lvlOverride>
  </w:num>
  <w:num w:numId="18">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num>
  <w:num w:numId="19">
    <w:abstractNumId w:val="20"/>
  </w:num>
  <w:num w:numId="20">
    <w:abstractNumId w:val="12"/>
  </w:num>
  <w:num w:numId="21">
    <w:abstractNumId w:val="6"/>
  </w:num>
  <w:num w:numId="22">
    <w:abstractNumId w:val="7"/>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3">
    <w:abstractNumId w:val="17"/>
    <w:lvlOverride w:ilvl="0">
      <w:lvl w:ilvl="0">
        <w:start w:val="1"/>
        <w:numFmt w:val="lowerLetter"/>
        <w:lvlText w:val="%1)"/>
        <w:lvlJc w:val="left"/>
        <w:pPr>
          <w:tabs>
            <w:tab w:val="num" w:pos="567"/>
          </w:tabs>
          <w:ind w:left="1247" w:firstLine="0"/>
        </w:pPr>
        <w:rPr>
          <w:rFonts w:hint="default"/>
        </w:rPr>
      </w:lvl>
    </w:lvlOverride>
  </w:num>
  <w:num w:numId="24">
    <w:abstractNumId w:val="11"/>
    <w:lvlOverride w:ilvl="0">
      <w:lvl w:ilvl="0">
        <w:start w:val="1"/>
        <w:numFmt w:val="lowerLetter"/>
        <w:lvlText w:val="%1)"/>
        <w:lvlJc w:val="left"/>
        <w:pPr>
          <w:tabs>
            <w:tab w:val="num" w:pos="567"/>
          </w:tabs>
          <w:ind w:left="1247" w:firstLine="0"/>
        </w:pPr>
        <w:rPr>
          <w:rFonts w:hint="default"/>
        </w:rPr>
      </w:lvl>
    </w:lvlOverride>
  </w:num>
  <w:num w:numId="25">
    <w:abstractNumId w:val="4"/>
    <w:lvlOverride w:ilvl="0">
      <w:lvl w:ilvl="0">
        <w:start w:val="1"/>
        <w:numFmt w:val="lowerLetter"/>
        <w:lvlText w:val="%1)"/>
        <w:lvlJc w:val="left"/>
        <w:pPr>
          <w:tabs>
            <w:tab w:val="num" w:pos="567"/>
          </w:tabs>
          <w:ind w:left="1247"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24"/>
  <w:evenAndOddHeaders/>
  <w:drawingGridHorizontalSpacing w:val="110"/>
  <w:displayHorizont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4C"/>
    <w:rsid w:val="00000F0D"/>
    <w:rsid w:val="000027D9"/>
    <w:rsid w:val="00002B5D"/>
    <w:rsid w:val="00005E66"/>
    <w:rsid w:val="00012FFE"/>
    <w:rsid w:val="000263B8"/>
    <w:rsid w:val="00030872"/>
    <w:rsid w:val="000462CE"/>
    <w:rsid w:val="00050246"/>
    <w:rsid w:val="000603EC"/>
    <w:rsid w:val="00061535"/>
    <w:rsid w:val="00066D6B"/>
    <w:rsid w:val="00072CA2"/>
    <w:rsid w:val="00080129"/>
    <w:rsid w:val="00082927"/>
    <w:rsid w:val="00082B64"/>
    <w:rsid w:val="0008627C"/>
    <w:rsid w:val="00087237"/>
    <w:rsid w:val="00091459"/>
    <w:rsid w:val="000A25A0"/>
    <w:rsid w:val="000A2764"/>
    <w:rsid w:val="000A454F"/>
    <w:rsid w:val="000A7847"/>
    <w:rsid w:val="000B0358"/>
    <w:rsid w:val="000C502B"/>
    <w:rsid w:val="000D0928"/>
    <w:rsid w:val="000E4809"/>
    <w:rsid w:val="000F5566"/>
    <w:rsid w:val="001068F4"/>
    <w:rsid w:val="0011504E"/>
    <w:rsid w:val="0012539B"/>
    <w:rsid w:val="00126A72"/>
    <w:rsid w:val="0013277B"/>
    <w:rsid w:val="00132BEE"/>
    <w:rsid w:val="00135FCF"/>
    <w:rsid w:val="001447E3"/>
    <w:rsid w:val="00150896"/>
    <w:rsid w:val="00150F20"/>
    <w:rsid w:val="0015270A"/>
    <w:rsid w:val="00156928"/>
    <w:rsid w:val="00161150"/>
    <w:rsid w:val="0016400E"/>
    <w:rsid w:val="00171AB1"/>
    <w:rsid w:val="001738D4"/>
    <w:rsid w:val="00177582"/>
    <w:rsid w:val="001810C2"/>
    <w:rsid w:val="00185828"/>
    <w:rsid w:val="0019039F"/>
    <w:rsid w:val="001A01A8"/>
    <w:rsid w:val="001A3D3C"/>
    <w:rsid w:val="001C0F39"/>
    <w:rsid w:val="001C59E9"/>
    <w:rsid w:val="001C719D"/>
    <w:rsid w:val="001D24F1"/>
    <w:rsid w:val="001E04A0"/>
    <w:rsid w:val="001E1088"/>
    <w:rsid w:val="001F4872"/>
    <w:rsid w:val="00204EE9"/>
    <w:rsid w:val="00205B4D"/>
    <w:rsid w:val="00205B52"/>
    <w:rsid w:val="00206927"/>
    <w:rsid w:val="00207564"/>
    <w:rsid w:val="002142FE"/>
    <w:rsid w:val="00221095"/>
    <w:rsid w:val="00223D43"/>
    <w:rsid w:val="002254A4"/>
    <w:rsid w:val="00225D2A"/>
    <w:rsid w:val="002359B4"/>
    <w:rsid w:val="00237513"/>
    <w:rsid w:val="00241728"/>
    <w:rsid w:val="00242B72"/>
    <w:rsid w:val="00243397"/>
    <w:rsid w:val="002564DD"/>
    <w:rsid w:val="0026050F"/>
    <w:rsid w:val="002612B0"/>
    <w:rsid w:val="00266D61"/>
    <w:rsid w:val="00286A80"/>
    <w:rsid w:val="0029738E"/>
    <w:rsid w:val="002A089B"/>
    <w:rsid w:val="002A6627"/>
    <w:rsid w:val="002B520C"/>
    <w:rsid w:val="002B7433"/>
    <w:rsid w:val="002C1134"/>
    <w:rsid w:val="002C2B0C"/>
    <w:rsid w:val="002C47B4"/>
    <w:rsid w:val="002C5AAD"/>
    <w:rsid w:val="002C6DD0"/>
    <w:rsid w:val="002C780D"/>
    <w:rsid w:val="002D099F"/>
    <w:rsid w:val="002D6FE3"/>
    <w:rsid w:val="002E681D"/>
    <w:rsid w:val="002F677D"/>
    <w:rsid w:val="003312CF"/>
    <w:rsid w:val="00335D1B"/>
    <w:rsid w:val="003361F0"/>
    <w:rsid w:val="00342753"/>
    <w:rsid w:val="003502FA"/>
    <w:rsid w:val="0036725F"/>
    <w:rsid w:val="00374342"/>
    <w:rsid w:val="003854FA"/>
    <w:rsid w:val="003859F1"/>
    <w:rsid w:val="0039066F"/>
    <w:rsid w:val="0039180E"/>
    <w:rsid w:val="00391FBA"/>
    <w:rsid w:val="00393D3C"/>
    <w:rsid w:val="00397C0E"/>
    <w:rsid w:val="003A1255"/>
    <w:rsid w:val="003A1E90"/>
    <w:rsid w:val="003A2A50"/>
    <w:rsid w:val="003B5CC8"/>
    <w:rsid w:val="003B7BF3"/>
    <w:rsid w:val="003C1209"/>
    <w:rsid w:val="003C5355"/>
    <w:rsid w:val="003D05EE"/>
    <w:rsid w:val="003D0CA8"/>
    <w:rsid w:val="003D1426"/>
    <w:rsid w:val="003E714C"/>
    <w:rsid w:val="003E76EA"/>
    <w:rsid w:val="003F528C"/>
    <w:rsid w:val="00414049"/>
    <w:rsid w:val="004218E9"/>
    <w:rsid w:val="0042428F"/>
    <w:rsid w:val="0042439C"/>
    <w:rsid w:val="00425248"/>
    <w:rsid w:val="00425C2E"/>
    <w:rsid w:val="00430739"/>
    <w:rsid w:val="00435094"/>
    <w:rsid w:val="004358A2"/>
    <w:rsid w:val="004411A1"/>
    <w:rsid w:val="00442028"/>
    <w:rsid w:val="0044469B"/>
    <w:rsid w:val="0045138D"/>
    <w:rsid w:val="004513AC"/>
    <w:rsid w:val="00457FAC"/>
    <w:rsid w:val="0046678D"/>
    <w:rsid w:val="00472124"/>
    <w:rsid w:val="00473539"/>
    <w:rsid w:val="004968A7"/>
    <w:rsid w:val="004A7CF7"/>
    <w:rsid w:val="004B428A"/>
    <w:rsid w:val="004C2D08"/>
    <w:rsid w:val="004C3094"/>
    <w:rsid w:val="004D08D9"/>
    <w:rsid w:val="004D37D1"/>
    <w:rsid w:val="004D42BD"/>
    <w:rsid w:val="004E413C"/>
    <w:rsid w:val="005011DA"/>
    <w:rsid w:val="00512313"/>
    <w:rsid w:val="00514D73"/>
    <w:rsid w:val="0053164F"/>
    <w:rsid w:val="00543B98"/>
    <w:rsid w:val="00550348"/>
    <w:rsid w:val="0055202B"/>
    <w:rsid w:val="005524EE"/>
    <w:rsid w:val="00563EF7"/>
    <w:rsid w:val="00572B22"/>
    <w:rsid w:val="0057390C"/>
    <w:rsid w:val="0057509F"/>
    <w:rsid w:val="0059202B"/>
    <w:rsid w:val="00592897"/>
    <w:rsid w:val="0059421C"/>
    <w:rsid w:val="00594645"/>
    <w:rsid w:val="0059687F"/>
    <w:rsid w:val="005A0DF1"/>
    <w:rsid w:val="005A2866"/>
    <w:rsid w:val="005A6D20"/>
    <w:rsid w:val="005B7A43"/>
    <w:rsid w:val="005C33BA"/>
    <w:rsid w:val="005D12D8"/>
    <w:rsid w:val="005D260D"/>
    <w:rsid w:val="005D335F"/>
    <w:rsid w:val="005D65F5"/>
    <w:rsid w:val="005D71AF"/>
    <w:rsid w:val="005F6456"/>
    <w:rsid w:val="0060438E"/>
    <w:rsid w:val="00607701"/>
    <w:rsid w:val="00607C96"/>
    <w:rsid w:val="0061312A"/>
    <w:rsid w:val="00624B88"/>
    <w:rsid w:val="0062584B"/>
    <w:rsid w:val="006313D5"/>
    <w:rsid w:val="00631B4C"/>
    <w:rsid w:val="00651372"/>
    <w:rsid w:val="00655722"/>
    <w:rsid w:val="0065598D"/>
    <w:rsid w:val="0066505C"/>
    <w:rsid w:val="00672B6A"/>
    <w:rsid w:val="006802D8"/>
    <w:rsid w:val="00691849"/>
    <w:rsid w:val="006B7769"/>
    <w:rsid w:val="006C1852"/>
    <w:rsid w:val="006C385C"/>
    <w:rsid w:val="006C5C49"/>
    <w:rsid w:val="006D1738"/>
    <w:rsid w:val="006D3869"/>
    <w:rsid w:val="006D3F64"/>
    <w:rsid w:val="006E1241"/>
    <w:rsid w:val="006E6B9A"/>
    <w:rsid w:val="006F16F4"/>
    <w:rsid w:val="006F2016"/>
    <w:rsid w:val="00702497"/>
    <w:rsid w:val="007032C9"/>
    <w:rsid w:val="00703ECB"/>
    <w:rsid w:val="00726321"/>
    <w:rsid w:val="00726656"/>
    <w:rsid w:val="0075667C"/>
    <w:rsid w:val="00766580"/>
    <w:rsid w:val="007675B6"/>
    <w:rsid w:val="00773BBB"/>
    <w:rsid w:val="00782C5B"/>
    <w:rsid w:val="007956C9"/>
    <w:rsid w:val="007A08D0"/>
    <w:rsid w:val="007A2C6F"/>
    <w:rsid w:val="007B0882"/>
    <w:rsid w:val="007C0C80"/>
    <w:rsid w:val="007C7B30"/>
    <w:rsid w:val="007D0866"/>
    <w:rsid w:val="007D5DE3"/>
    <w:rsid w:val="007D5FFB"/>
    <w:rsid w:val="007D7D6B"/>
    <w:rsid w:val="007E5C7D"/>
    <w:rsid w:val="007F090B"/>
    <w:rsid w:val="007F1410"/>
    <w:rsid w:val="007F20D6"/>
    <w:rsid w:val="007F2FA5"/>
    <w:rsid w:val="007F5C49"/>
    <w:rsid w:val="00812FFE"/>
    <w:rsid w:val="00814CFA"/>
    <w:rsid w:val="0082101C"/>
    <w:rsid w:val="00824E79"/>
    <w:rsid w:val="00835243"/>
    <w:rsid w:val="008370A4"/>
    <w:rsid w:val="0083767A"/>
    <w:rsid w:val="00837DFF"/>
    <w:rsid w:val="008418AA"/>
    <w:rsid w:val="00845F19"/>
    <w:rsid w:val="00855969"/>
    <w:rsid w:val="00857D14"/>
    <w:rsid w:val="00876ED7"/>
    <w:rsid w:val="00885374"/>
    <w:rsid w:val="0089197F"/>
    <w:rsid w:val="0089512B"/>
    <w:rsid w:val="008A7664"/>
    <w:rsid w:val="008D793A"/>
    <w:rsid w:val="008E33F5"/>
    <w:rsid w:val="008E4396"/>
    <w:rsid w:val="008F127B"/>
    <w:rsid w:val="008F4B08"/>
    <w:rsid w:val="008F53F6"/>
    <w:rsid w:val="008F54CD"/>
    <w:rsid w:val="0091303F"/>
    <w:rsid w:val="00913F1B"/>
    <w:rsid w:val="00920351"/>
    <w:rsid w:val="00921022"/>
    <w:rsid w:val="009321A1"/>
    <w:rsid w:val="00937EA4"/>
    <w:rsid w:val="00945DC5"/>
    <w:rsid w:val="00945F46"/>
    <w:rsid w:val="00966BF4"/>
    <w:rsid w:val="00972382"/>
    <w:rsid w:val="00973A03"/>
    <w:rsid w:val="0097417A"/>
    <w:rsid w:val="009849EA"/>
    <w:rsid w:val="0098799D"/>
    <w:rsid w:val="0099165D"/>
    <w:rsid w:val="009A40EE"/>
    <w:rsid w:val="009B2B77"/>
    <w:rsid w:val="009B352D"/>
    <w:rsid w:val="009C1BE6"/>
    <w:rsid w:val="009D093A"/>
    <w:rsid w:val="009D1734"/>
    <w:rsid w:val="009D4875"/>
    <w:rsid w:val="009E5CF5"/>
    <w:rsid w:val="009E694C"/>
    <w:rsid w:val="009F290B"/>
    <w:rsid w:val="009F517F"/>
    <w:rsid w:val="00A0523F"/>
    <w:rsid w:val="00A10A26"/>
    <w:rsid w:val="00A23095"/>
    <w:rsid w:val="00A231D7"/>
    <w:rsid w:val="00A24B04"/>
    <w:rsid w:val="00A31159"/>
    <w:rsid w:val="00A3649E"/>
    <w:rsid w:val="00A36C1D"/>
    <w:rsid w:val="00A40423"/>
    <w:rsid w:val="00A41942"/>
    <w:rsid w:val="00A55E57"/>
    <w:rsid w:val="00A57303"/>
    <w:rsid w:val="00A6073E"/>
    <w:rsid w:val="00A7035F"/>
    <w:rsid w:val="00A80F86"/>
    <w:rsid w:val="00A8533F"/>
    <w:rsid w:val="00A85FBE"/>
    <w:rsid w:val="00A90D11"/>
    <w:rsid w:val="00A939A5"/>
    <w:rsid w:val="00A9688C"/>
    <w:rsid w:val="00AA43F4"/>
    <w:rsid w:val="00AA6452"/>
    <w:rsid w:val="00AC7D19"/>
    <w:rsid w:val="00AD09FA"/>
    <w:rsid w:val="00AD7CD2"/>
    <w:rsid w:val="00B11BC4"/>
    <w:rsid w:val="00B14810"/>
    <w:rsid w:val="00B44649"/>
    <w:rsid w:val="00B52E5B"/>
    <w:rsid w:val="00B55B6A"/>
    <w:rsid w:val="00B57F3D"/>
    <w:rsid w:val="00B656F6"/>
    <w:rsid w:val="00B70659"/>
    <w:rsid w:val="00B74EC3"/>
    <w:rsid w:val="00B82276"/>
    <w:rsid w:val="00B82388"/>
    <w:rsid w:val="00B82859"/>
    <w:rsid w:val="00B83394"/>
    <w:rsid w:val="00B873A3"/>
    <w:rsid w:val="00B96678"/>
    <w:rsid w:val="00BA3986"/>
    <w:rsid w:val="00BB6100"/>
    <w:rsid w:val="00BB704A"/>
    <w:rsid w:val="00BC4E5A"/>
    <w:rsid w:val="00BD119E"/>
    <w:rsid w:val="00BD1D12"/>
    <w:rsid w:val="00BD3AA1"/>
    <w:rsid w:val="00C0221F"/>
    <w:rsid w:val="00C04A43"/>
    <w:rsid w:val="00C10B03"/>
    <w:rsid w:val="00C12A65"/>
    <w:rsid w:val="00C243E6"/>
    <w:rsid w:val="00C356EB"/>
    <w:rsid w:val="00C46B7F"/>
    <w:rsid w:val="00C52080"/>
    <w:rsid w:val="00C74E54"/>
    <w:rsid w:val="00C82089"/>
    <w:rsid w:val="00C82C1E"/>
    <w:rsid w:val="00C834F5"/>
    <w:rsid w:val="00C84385"/>
    <w:rsid w:val="00C94A39"/>
    <w:rsid w:val="00C958ED"/>
    <w:rsid w:val="00C9716B"/>
    <w:rsid w:val="00CA223E"/>
    <w:rsid w:val="00CA37DF"/>
    <w:rsid w:val="00CB08EA"/>
    <w:rsid w:val="00CB20D6"/>
    <w:rsid w:val="00CD3133"/>
    <w:rsid w:val="00CD3E09"/>
    <w:rsid w:val="00CE7C00"/>
    <w:rsid w:val="00CF644E"/>
    <w:rsid w:val="00D05B10"/>
    <w:rsid w:val="00D11A73"/>
    <w:rsid w:val="00D22E10"/>
    <w:rsid w:val="00D23B18"/>
    <w:rsid w:val="00D513DE"/>
    <w:rsid w:val="00D525C9"/>
    <w:rsid w:val="00D55B4C"/>
    <w:rsid w:val="00D66993"/>
    <w:rsid w:val="00D968B3"/>
    <w:rsid w:val="00DA0D1D"/>
    <w:rsid w:val="00DA707E"/>
    <w:rsid w:val="00DB4E65"/>
    <w:rsid w:val="00DB5D69"/>
    <w:rsid w:val="00DB7585"/>
    <w:rsid w:val="00DC0BAC"/>
    <w:rsid w:val="00DC1388"/>
    <w:rsid w:val="00DC17BF"/>
    <w:rsid w:val="00DD1FA4"/>
    <w:rsid w:val="00DD6303"/>
    <w:rsid w:val="00DE4CFB"/>
    <w:rsid w:val="00DF0950"/>
    <w:rsid w:val="00DF5CA9"/>
    <w:rsid w:val="00DF78DA"/>
    <w:rsid w:val="00E14B03"/>
    <w:rsid w:val="00E15811"/>
    <w:rsid w:val="00E17AA1"/>
    <w:rsid w:val="00E2281F"/>
    <w:rsid w:val="00E24D87"/>
    <w:rsid w:val="00E25180"/>
    <w:rsid w:val="00E27E29"/>
    <w:rsid w:val="00E30B67"/>
    <w:rsid w:val="00E33F9E"/>
    <w:rsid w:val="00E36C7B"/>
    <w:rsid w:val="00E40AAF"/>
    <w:rsid w:val="00E42370"/>
    <w:rsid w:val="00E44AF2"/>
    <w:rsid w:val="00E475FF"/>
    <w:rsid w:val="00E85C9D"/>
    <w:rsid w:val="00E94109"/>
    <w:rsid w:val="00E957B6"/>
    <w:rsid w:val="00EA4129"/>
    <w:rsid w:val="00EA5B20"/>
    <w:rsid w:val="00EB0ABF"/>
    <w:rsid w:val="00EB2312"/>
    <w:rsid w:val="00EB3FCB"/>
    <w:rsid w:val="00ED315D"/>
    <w:rsid w:val="00EE724E"/>
    <w:rsid w:val="00EF7B4C"/>
    <w:rsid w:val="00F007F7"/>
    <w:rsid w:val="00F0578B"/>
    <w:rsid w:val="00F06F5D"/>
    <w:rsid w:val="00F075B0"/>
    <w:rsid w:val="00F23192"/>
    <w:rsid w:val="00F26A45"/>
    <w:rsid w:val="00F314EC"/>
    <w:rsid w:val="00F32DAF"/>
    <w:rsid w:val="00F46894"/>
    <w:rsid w:val="00F50AF8"/>
    <w:rsid w:val="00F5499E"/>
    <w:rsid w:val="00F56276"/>
    <w:rsid w:val="00F6158B"/>
    <w:rsid w:val="00F667AA"/>
    <w:rsid w:val="00F7340B"/>
    <w:rsid w:val="00F73BA0"/>
    <w:rsid w:val="00F74DCF"/>
    <w:rsid w:val="00F755F1"/>
    <w:rsid w:val="00F851C9"/>
    <w:rsid w:val="00F87B00"/>
    <w:rsid w:val="00FB4005"/>
    <w:rsid w:val="00FD07CD"/>
    <w:rsid w:val="00FE3E8C"/>
    <w:rsid w:val="00FE5B5A"/>
    <w:rsid w:val="00FF00CD"/>
    <w:rsid w:val="00FF57C5"/>
    <w:rsid w:val="00FF7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14C"/>
    <w:rPr>
      <w:sz w:val="22"/>
      <w:lang w:val="en-GB"/>
    </w:rPr>
  </w:style>
  <w:style w:type="paragraph" w:styleId="Heading2">
    <w:name w:val="heading 2"/>
    <w:basedOn w:val="Normal"/>
    <w:next w:val="Normal"/>
    <w:link w:val="Heading2Char"/>
    <w:qFormat/>
    <w:rsid w:val="003E714C"/>
    <w:pPr>
      <w:keepNext/>
      <w:ind w:left="1157"/>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uiPriority w:val="99"/>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E714C"/>
    <w:rPr>
      <w:sz w:val="22"/>
      <w:lang w:val="en-GB" w:eastAsia="en-US" w:bidi="ar-SA"/>
    </w:rPr>
  </w:style>
  <w:style w:type="paragraph" w:styleId="Header">
    <w:name w:val="header"/>
    <w:basedOn w:val="Normal"/>
    <w:rsid w:val="003E714C"/>
    <w:pPr>
      <w:tabs>
        <w:tab w:val="center" w:pos="4320"/>
        <w:tab w:val="right" w:pos="8640"/>
      </w:tabs>
    </w:pPr>
  </w:style>
  <w:style w:type="paragraph" w:styleId="Footer">
    <w:name w:val="footer"/>
    <w:basedOn w:val="Normal"/>
    <w:link w:val="FooterChar"/>
    <w:uiPriority w:val="99"/>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semiHidden/>
    <w:rsid w:val="00513BDD"/>
    <w:rPr>
      <w:rFonts w:ascii="Tahoma" w:hAnsi="Tahoma" w:cs="Tahoma"/>
      <w:sz w:val="16"/>
      <w:szCs w:val="16"/>
    </w:rPr>
  </w:style>
  <w:style w:type="paragraph" w:customStyle="1" w:styleId="CH1">
    <w:name w:val="CH1"/>
    <w:basedOn w:val="Heading2"/>
    <w:autoRedefine/>
    <w:rsid w:val="000B5994"/>
    <w:pPr>
      <w:spacing w:before="240" w:after="240"/>
      <w:ind w:left="0" w:right="567"/>
    </w:pPr>
    <w:rPr>
      <w:sz w:val="28"/>
      <w:szCs w:val="28"/>
    </w:rPr>
  </w:style>
  <w:style w:type="paragraph" w:customStyle="1" w:styleId="CH2">
    <w:name w:val="CH2"/>
    <w:basedOn w:val="Normal"/>
    <w:autoRedefine/>
    <w:rsid w:val="002E681D"/>
    <w:pPr>
      <w:keepNext/>
      <w:tabs>
        <w:tab w:val="left" w:pos="624"/>
        <w:tab w:val="left" w:pos="1871"/>
        <w:tab w:val="left" w:pos="2495"/>
        <w:tab w:val="left" w:pos="3119"/>
        <w:tab w:val="left" w:pos="3742"/>
      </w:tabs>
      <w:spacing w:before="240" w:after="120"/>
      <w:ind w:left="1248" w:right="567" w:hanging="624"/>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semiHidden/>
    <w:rsid w:val="00FE0DB6"/>
    <w:rPr>
      <w:sz w:val="18"/>
    </w:rPr>
  </w:style>
  <w:style w:type="paragraph" w:styleId="CommentText">
    <w:name w:val="annotation text"/>
    <w:basedOn w:val="Normal"/>
    <w:semiHidden/>
    <w:rsid w:val="00FE0DB6"/>
    <w:rPr>
      <w:sz w:val="24"/>
      <w:szCs w:val="24"/>
    </w:rPr>
  </w:style>
  <w:style w:type="paragraph" w:styleId="CommentSubject">
    <w:name w:val="annotation subject"/>
    <w:basedOn w:val="CommentText"/>
    <w:next w:val="CommentText"/>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uiPriority w:val="99"/>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rsid w:val="00C243E6"/>
    <w:pPr>
      <w:numPr>
        <w:numId w:val="4"/>
      </w:numPr>
      <w:spacing w:after="120"/>
    </w:pPr>
  </w:style>
  <w:style w:type="numbering" w:customStyle="1" w:styleId="Normallist">
    <w:name w:val="Normal_list"/>
    <w:basedOn w:val="NoList"/>
    <w:rsid w:val="00C243E6"/>
    <w:pPr>
      <w:numPr>
        <w:numId w:val="3"/>
      </w:numPr>
    </w:pPr>
  </w:style>
  <w:style w:type="character" w:customStyle="1" w:styleId="FooterChar">
    <w:name w:val="Footer Char"/>
    <w:basedOn w:val="DefaultParagraphFont"/>
    <w:link w:val="Footer"/>
    <w:uiPriority w:val="99"/>
    <w:rsid w:val="00126A72"/>
    <w:rPr>
      <w:sz w:val="22"/>
      <w:lang w:val="en-GB" w:eastAsia="en-US"/>
    </w:rPr>
  </w:style>
  <w:style w:type="character" w:customStyle="1" w:styleId="NormalnumberChar">
    <w:name w:val="Normal_number Char"/>
    <w:link w:val="Normalnumber"/>
    <w:locked/>
    <w:rsid w:val="00607C96"/>
    <w:rPr>
      <w:lang w:val="en-GB" w:eastAsia="en-US"/>
    </w:rPr>
  </w:style>
  <w:style w:type="paragraph" w:customStyle="1" w:styleId="paralevel1a">
    <w:name w:val="para level 1a"/>
    <w:basedOn w:val="Paralevel1"/>
    <w:autoRedefine/>
    <w:rsid w:val="005B7A43"/>
    <w:pPr>
      <w:numPr>
        <w:numId w:val="15"/>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styleId="Revision">
    <w:name w:val="Revision"/>
    <w:hidden/>
    <w:uiPriority w:val="99"/>
    <w:semiHidden/>
    <w:rsid w:val="006F2016"/>
    <w:rPr>
      <w:sz w:val="22"/>
      <w:lang w:val="en-GB"/>
    </w:rPr>
  </w:style>
  <w:style w:type="table" w:styleId="TableGrid">
    <w:name w:val="Table Grid"/>
    <w:basedOn w:val="TableNormal"/>
    <w:rsid w:val="00F0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0523F"/>
    <w:rPr>
      <w:b/>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14C"/>
    <w:rPr>
      <w:sz w:val="22"/>
      <w:lang w:val="en-GB"/>
    </w:rPr>
  </w:style>
  <w:style w:type="paragraph" w:styleId="Heading2">
    <w:name w:val="heading 2"/>
    <w:basedOn w:val="Normal"/>
    <w:next w:val="Normal"/>
    <w:link w:val="Heading2Char"/>
    <w:qFormat/>
    <w:rsid w:val="003E714C"/>
    <w:pPr>
      <w:keepNext/>
      <w:ind w:left="1157"/>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uiPriority w:val="99"/>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E714C"/>
    <w:rPr>
      <w:sz w:val="22"/>
      <w:lang w:val="en-GB" w:eastAsia="en-US" w:bidi="ar-SA"/>
    </w:rPr>
  </w:style>
  <w:style w:type="paragraph" w:styleId="Header">
    <w:name w:val="header"/>
    <w:basedOn w:val="Normal"/>
    <w:rsid w:val="003E714C"/>
    <w:pPr>
      <w:tabs>
        <w:tab w:val="center" w:pos="4320"/>
        <w:tab w:val="right" w:pos="8640"/>
      </w:tabs>
    </w:pPr>
  </w:style>
  <w:style w:type="paragraph" w:styleId="Footer">
    <w:name w:val="footer"/>
    <w:basedOn w:val="Normal"/>
    <w:link w:val="FooterChar"/>
    <w:uiPriority w:val="99"/>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semiHidden/>
    <w:rsid w:val="00513BDD"/>
    <w:rPr>
      <w:rFonts w:ascii="Tahoma" w:hAnsi="Tahoma" w:cs="Tahoma"/>
      <w:sz w:val="16"/>
      <w:szCs w:val="16"/>
    </w:rPr>
  </w:style>
  <w:style w:type="paragraph" w:customStyle="1" w:styleId="CH1">
    <w:name w:val="CH1"/>
    <w:basedOn w:val="Heading2"/>
    <w:autoRedefine/>
    <w:rsid w:val="000B5994"/>
    <w:pPr>
      <w:spacing w:before="240" w:after="240"/>
      <w:ind w:left="0" w:right="567"/>
    </w:pPr>
    <w:rPr>
      <w:sz w:val="28"/>
      <w:szCs w:val="28"/>
    </w:rPr>
  </w:style>
  <w:style w:type="paragraph" w:customStyle="1" w:styleId="CH2">
    <w:name w:val="CH2"/>
    <w:basedOn w:val="Normal"/>
    <w:autoRedefine/>
    <w:rsid w:val="002E681D"/>
    <w:pPr>
      <w:keepNext/>
      <w:tabs>
        <w:tab w:val="left" w:pos="624"/>
        <w:tab w:val="left" w:pos="1871"/>
        <w:tab w:val="left" w:pos="2495"/>
        <w:tab w:val="left" w:pos="3119"/>
        <w:tab w:val="left" w:pos="3742"/>
      </w:tabs>
      <w:spacing w:before="240" w:after="120"/>
      <w:ind w:left="1248" w:right="567" w:hanging="624"/>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semiHidden/>
    <w:rsid w:val="00FE0DB6"/>
    <w:rPr>
      <w:sz w:val="18"/>
    </w:rPr>
  </w:style>
  <w:style w:type="paragraph" w:styleId="CommentText">
    <w:name w:val="annotation text"/>
    <w:basedOn w:val="Normal"/>
    <w:semiHidden/>
    <w:rsid w:val="00FE0DB6"/>
    <w:rPr>
      <w:sz w:val="24"/>
      <w:szCs w:val="24"/>
    </w:rPr>
  </w:style>
  <w:style w:type="paragraph" w:styleId="CommentSubject">
    <w:name w:val="annotation subject"/>
    <w:basedOn w:val="CommentText"/>
    <w:next w:val="CommentText"/>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uiPriority w:val="99"/>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rsid w:val="00C243E6"/>
    <w:pPr>
      <w:numPr>
        <w:numId w:val="4"/>
      </w:numPr>
      <w:spacing w:after="120"/>
    </w:pPr>
  </w:style>
  <w:style w:type="numbering" w:customStyle="1" w:styleId="Normallist">
    <w:name w:val="Normal_list"/>
    <w:basedOn w:val="NoList"/>
    <w:rsid w:val="00C243E6"/>
    <w:pPr>
      <w:numPr>
        <w:numId w:val="3"/>
      </w:numPr>
    </w:pPr>
  </w:style>
  <w:style w:type="character" w:customStyle="1" w:styleId="FooterChar">
    <w:name w:val="Footer Char"/>
    <w:basedOn w:val="DefaultParagraphFont"/>
    <w:link w:val="Footer"/>
    <w:uiPriority w:val="99"/>
    <w:rsid w:val="00126A72"/>
    <w:rPr>
      <w:sz w:val="22"/>
      <w:lang w:val="en-GB" w:eastAsia="en-US"/>
    </w:rPr>
  </w:style>
  <w:style w:type="character" w:customStyle="1" w:styleId="NormalnumberChar">
    <w:name w:val="Normal_number Char"/>
    <w:link w:val="Normalnumber"/>
    <w:locked/>
    <w:rsid w:val="00607C96"/>
    <w:rPr>
      <w:lang w:val="en-GB" w:eastAsia="en-US"/>
    </w:rPr>
  </w:style>
  <w:style w:type="paragraph" w:customStyle="1" w:styleId="paralevel1a">
    <w:name w:val="para level 1a"/>
    <w:basedOn w:val="Paralevel1"/>
    <w:autoRedefine/>
    <w:rsid w:val="005B7A43"/>
    <w:pPr>
      <w:numPr>
        <w:numId w:val="15"/>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styleId="Revision">
    <w:name w:val="Revision"/>
    <w:hidden/>
    <w:uiPriority w:val="99"/>
    <w:semiHidden/>
    <w:rsid w:val="006F2016"/>
    <w:rPr>
      <w:sz w:val="22"/>
      <w:lang w:val="en-GB"/>
    </w:rPr>
  </w:style>
  <w:style w:type="table" w:styleId="TableGrid">
    <w:name w:val="Table Grid"/>
    <w:basedOn w:val="TableNormal"/>
    <w:rsid w:val="00F0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0523F"/>
    <w:rPr>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65">
      <w:bodyDiv w:val="1"/>
      <w:marLeft w:val="0"/>
      <w:marRight w:val="0"/>
      <w:marTop w:val="0"/>
      <w:marBottom w:val="0"/>
      <w:divBdr>
        <w:top w:val="none" w:sz="0" w:space="0" w:color="auto"/>
        <w:left w:val="none" w:sz="0" w:space="0" w:color="auto"/>
        <w:bottom w:val="none" w:sz="0" w:space="0" w:color="auto"/>
        <w:right w:val="none" w:sz="0" w:space="0" w:color="auto"/>
      </w:divBdr>
    </w:div>
    <w:div w:id="923993802">
      <w:bodyDiv w:val="1"/>
      <w:marLeft w:val="0"/>
      <w:marRight w:val="0"/>
      <w:marTop w:val="0"/>
      <w:marBottom w:val="0"/>
      <w:divBdr>
        <w:top w:val="none" w:sz="0" w:space="0" w:color="auto"/>
        <w:left w:val="none" w:sz="0" w:space="0" w:color="auto"/>
        <w:bottom w:val="none" w:sz="0" w:space="0" w:color="auto"/>
        <w:right w:val="none" w:sz="0" w:space="0" w:color="auto"/>
      </w:divBdr>
    </w:div>
    <w:div w:id="14649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DF57E-3014-47C3-9D6B-64535891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Lechner</dc:creator>
  <cp:lastModifiedBy>Herimalala Raveloarinjato</cp:lastModifiedBy>
  <cp:revision>2</cp:revision>
  <cp:lastPrinted>2016-11-25T08:51:00Z</cp:lastPrinted>
  <dcterms:created xsi:type="dcterms:W3CDTF">2016-11-25T08:52:00Z</dcterms:created>
  <dcterms:modified xsi:type="dcterms:W3CDTF">2016-11-25T08:52:00Z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11/22/2016 11:27:35 AM</vt:lpwstr>
  </property>
  <property fmtid="{D5CDD505-2E9C-101B-9397-08002B2CF9AE}" pid="5" name="OriginalDocID">
    <vt:lpwstr>2b6e6c5a-5648-4d95-acdd-c319b40cc6d7</vt:lpwstr>
  </property>
</Properties>
</file>