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47"/>
        <w:gridCol w:w="4920"/>
        <w:gridCol w:w="3146"/>
      </w:tblGrid>
      <w:tr w:rsidR="00756C86" w:rsidRPr="001662B3" w:rsidTr="008219AC">
        <w:trPr>
          <w:trHeight w:val="895"/>
          <w:jc w:val="right"/>
        </w:trPr>
        <w:tc>
          <w:tcPr>
            <w:tcW w:w="1702" w:type="dxa"/>
            <w:vMerge w:val="restart"/>
          </w:tcPr>
          <w:p w:rsidR="00756C86" w:rsidRPr="001662B3" w:rsidRDefault="00756C86" w:rsidP="008219AC">
            <w:pPr>
              <w:rPr>
                <w:sz w:val="22"/>
              </w:rPr>
            </w:pPr>
            <w:r w:rsidRPr="001662B3">
              <w:rPr>
                <w:rFonts w:ascii="Arial" w:hAnsi="Arial"/>
                <w:b/>
                <w:caps/>
                <w:sz w:val="27"/>
                <w:szCs w:val="27"/>
              </w:rPr>
              <w:t>UNITED</w:t>
            </w:r>
            <w:r w:rsidRPr="001662B3">
              <w:rPr>
                <w:rFonts w:ascii="Arial" w:hAnsi="Arial"/>
                <w:b/>
                <w:caps/>
                <w:sz w:val="27"/>
                <w:szCs w:val="27"/>
              </w:rPr>
              <w:br/>
              <w:t>NATIONS</w:t>
            </w:r>
          </w:p>
        </w:tc>
        <w:tc>
          <w:tcPr>
            <w:tcW w:w="5103" w:type="dxa"/>
            <w:vMerge w:val="restart"/>
          </w:tcPr>
          <w:p w:rsidR="00756C86" w:rsidRPr="001662B3" w:rsidRDefault="00756C86" w:rsidP="008219AC">
            <w:pPr>
              <w:rPr>
                <w:sz w:val="22"/>
              </w:rPr>
            </w:pPr>
            <w:r w:rsidRPr="001662B3">
              <w:rPr>
                <w:noProof/>
                <w:sz w:val="22"/>
                <w:lang w:eastAsia="en-GB"/>
              </w:rPr>
              <w:drawing>
                <wp:anchor distT="0" distB="0" distL="114300" distR="114300" simplePos="0" relativeHeight="251659264" behindDoc="0" locked="0" layoutInCell="1" allowOverlap="1" wp14:anchorId="5F83DDC1" wp14:editId="60DF1146">
                  <wp:simplePos x="0" y="0"/>
                  <wp:positionH relativeFrom="column">
                    <wp:posOffset>516890</wp:posOffset>
                  </wp:positionH>
                  <wp:positionV relativeFrom="paragraph">
                    <wp:posOffset>114300</wp:posOffset>
                  </wp:positionV>
                  <wp:extent cx="459740" cy="515620"/>
                  <wp:effectExtent l="19050" t="0" r="0" b="0"/>
                  <wp:wrapNone/>
                  <wp:docPr id="4" name="Picture 4" descr="Uneplogoblack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plogoblack_2cm"/>
                          <pic:cNvPicPr>
                            <a:picLocks noChangeAspect="1" noChangeArrowheads="1"/>
                          </pic:cNvPicPr>
                        </pic:nvPicPr>
                        <pic:blipFill>
                          <a:blip r:embed="rId9" cstate="print"/>
                          <a:srcRect/>
                          <a:stretch>
                            <a:fillRect/>
                          </a:stretch>
                        </pic:blipFill>
                        <pic:spPr bwMode="auto">
                          <a:xfrm>
                            <a:off x="0" y="0"/>
                            <a:ext cx="459740" cy="515620"/>
                          </a:xfrm>
                          <a:prstGeom prst="rect">
                            <a:avLst/>
                          </a:prstGeom>
                          <a:noFill/>
                          <a:ln w="9525">
                            <a:noFill/>
                            <a:miter lim="800000"/>
                            <a:headEnd/>
                            <a:tailEnd/>
                          </a:ln>
                        </pic:spPr>
                      </pic:pic>
                    </a:graphicData>
                  </a:graphic>
                </wp:anchor>
              </w:drawing>
            </w:r>
            <w:r w:rsidRPr="001662B3">
              <w:rPr>
                <w:noProof/>
                <w:lang w:eastAsia="en-GB"/>
              </w:rPr>
              <w:drawing>
                <wp:anchor distT="0" distB="0" distL="114300" distR="114300" simplePos="0" relativeHeight="251660288" behindDoc="0" locked="0" layoutInCell="1" allowOverlap="1" wp14:anchorId="68A6944D" wp14:editId="59944110">
                  <wp:simplePos x="0" y="0"/>
                  <wp:positionH relativeFrom="column">
                    <wp:posOffset>-59055</wp:posOffset>
                  </wp:positionH>
                  <wp:positionV relativeFrom="paragraph">
                    <wp:posOffset>109855</wp:posOffset>
                  </wp:positionV>
                  <wp:extent cx="563880" cy="487680"/>
                  <wp:effectExtent l="19050" t="0" r="7620" b="0"/>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pic:cNvPicPr>
                            <a:picLocks noChangeAspect="1" noChangeArrowheads="1"/>
                          </pic:cNvPicPr>
                        </pic:nvPicPr>
                        <pic:blipFill>
                          <a:blip r:embed="rId10" cstate="print"/>
                          <a:srcRect/>
                          <a:stretch>
                            <a:fillRect/>
                          </a:stretch>
                        </pic:blipFill>
                        <pic:spPr bwMode="auto">
                          <a:xfrm>
                            <a:off x="0" y="0"/>
                            <a:ext cx="563880" cy="487680"/>
                          </a:xfrm>
                          <a:prstGeom prst="rect">
                            <a:avLst/>
                          </a:prstGeom>
                          <a:noFill/>
                          <a:ln w="9525">
                            <a:noFill/>
                            <a:miter lim="800000"/>
                            <a:headEnd/>
                            <a:tailEnd/>
                          </a:ln>
                        </pic:spPr>
                      </pic:pic>
                    </a:graphicData>
                  </a:graphic>
                </wp:anchor>
              </w:drawing>
            </w:r>
          </w:p>
        </w:tc>
        <w:tc>
          <w:tcPr>
            <w:tcW w:w="3260" w:type="dxa"/>
          </w:tcPr>
          <w:p w:rsidR="00756C86" w:rsidRPr="001662B3" w:rsidRDefault="00756C86" w:rsidP="008219AC">
            <w:pPr>
              <w:jc w:val="right"/>
              <w:rPr>
                <w:rFonts w:ascii="Arial" w:hAnsi="Arial" w:cs="Arial"/>
                <w:sz w:val="64"/>
                <w:szCs w:val="64"/>
              </w:rPr>
            </w:pPr>
            <w:r w:rsidRPr="001662B3">
              <w:rPr>
                <w:rFonts w:ascii="Arial" w:hAnsi="Arial" w:cs="Arial"/>
                <w:b/>
                <w:sz w:val="64"/>
                <w:szCs w:val="64"/>
              </w:rPr>
              <w:t>SC</w:t>
            </w:r>
          </w:p>
        </w:tc>
      </w:tr>
      <w:tr w:rsidR="00756C86" w:rsidRPr="001662B3" w:rsidTr="008219AC">
        <w:trPr>
          <w:trHeight w:val="150"/>
          <w:jc w:val="right"/>
        </w:trPr>
        <w:tc>
          <w:tcPr>
            <w:tcW w:w="1702" w:type="dxa"/>
            <w:vMerge/>
            <w:tcBorders>
              <w:bottom w:val="single" w:sz="4" w:space="0" w:color="auto"/>
            </w:tcBorders>
          </w:tcPr>
          <w:p w:rsidR="00756C86" w:rsidRPr="001662B3" w:rsidRDefault="00756C86" w:rsidP="008219AC">
            <w:pPr>
              <w:rPr>
                <w:b/>
                <w:sz w:val="22"/>
              </w:rPr>
            </w:pPr>
          </w:p>
        </w:tc>
        <w:tc>
          <w:tcPr>
            <w:tcW w:w="5103" w:type="dxa"/>
            <w:vMerge/>
            <w:tcBorders>
              <w:bottom w:val="single" w:sz="4" w:space="0" w:color="auto"/>
            </w:tcBorders>
          </w:tcPr>
          <w:p w:rsidR="00756C86" w:rsidRPr="001662B3" w:rsidRDefault="00756C86" w:rsidP="008219AC">
            <w:pPr>
              <w:rPr>
                <w:b/>
                <w:sz w:val="22"/>
              </w:rPr>
            </w:pPr>
          </w:p>
        </w:tc>
        <w:tc>
          <w:tcPr>
            <w:tcW w:w="3260" w:type="dxa"/>
            <w:tcBorders>
              <w:bottom w:val="single" w:sz="4" w:space="0" w:color="auto"/>
            </w:tcBorders>
          </w:tcPr>
          <w:p w:rsidR="00756C86" w:rsidRPr="001662B3" w:rsidRDefault="00756C86" w:rsidP="008219AC">
            <w:pPr>
              <w:rPr>
                <w:sz w:val="22"/>
              </w:rPr>
            </w:pPr>
            <w:r w:rsidRPr="001662B3">
              <w:rPr>
                <w:b/>
                <w:sz w:val="28"/>
                <w:szCs w:val="28"/>
              </w:rPr>
              <w:t>UNEP</w:t>
            </w:r>
            <w:r w:rsidRPr="001662B3">
              <w:rPr>
                <w:sz w:val="20"/>
              </w:rPr>
              <w:t>/POPS/COP.8/16</w:t>
            </w:r>
            <w:r w:rsidR="00040612" w:rsidRPr="001662B3">
              <w:rPr>
                <w:sz w:val="20"/>
              </w:rPr>
              <w:t>/Rev.1</w:t>
            </w:r>
          </w:p>
        </w:tc>
      </w:tr>
      <w:tr w:rsidR="00756C86" w:rsidRPr="001662B3" w:rsidTr="008219AC">
        <w:trPr>
          <w:trHeight w:val="2262"/>
          <w:jc w:val="right"/>
        </w:trPr>
        <w:tc>
          <w:tcPr>
            <w:tcW w:w="1702" w:type="dxa"/>
            <w:tcBorders>
              <w:top w:val="single" w:sz="4" w:space="0" w:color="auto"/>
              <w:bottom w:val="single" w:sz="24" w:space="0" w:color="auto"/>
            </w:tcBorders>
          </w:tcPr>
          <w:p w:rsidR="00756C86" w:rsidRPr="001662B3" w:rsidRDefault="00756C86" w:rsidP="008219AC">
            <w:pPr>
              <w:spacing w:before="600"/>
              <w:ind w:left="-108"/>
              <w:rPr>
                <w:sz w:val="22"/>
              </w:rPr>
            </w:pPr>
            <w:r w:rsidRPr="001662B3">
              <w:rPr>
                <w:noProof/>
                <w:lang w:eastAsia="en-GB"/>
              </w:rPr>
              <w:drawing>
                <wp:inline distT="0" distB="0" distL="0" distR="0" wp14:anchorId="2790DCA7" wp14:editId="7B6DC456">
                  <wp:extent cx="1009650" cy="790575"/>
                  <wp:effectExtent l="19050" t="0" r="0" b="0"/>
                  <wp:docPr id="1" name="Picture 1"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BW NOTEXT"/>
                          <pic:cNvPicPr>
                            <a:picLocks noChangeAspect="1" noChangeArrowheads="1"/>
                          </pic:cNvPicPr>
                        </pic:nvPicPr>
                        <pic:blipFill>
                          <a:blip r:embed="rId11" cstate="print"/>
                          <a:srcRect/>
                          <a:stretch>
                            <a:fillRect/>
                          </a:stretch>
                        </pic:blipFill>
                        <pic:spPr bwMode="auto">
                          <a:xfrm>
                            <a:off x="0" y="0"/>
                            <a:ext cx="1009650" cy="790575"/>
                          </a:xfrm>
                          <a:prstGeom prst="rect">
                            <a:avLst/>
                          </a:prstGeom>
                          <a:noFill/>
                          <a:ln w="9525">
                            <a:noFill/>
                            <a:miter lim="800000"/>
                            <a:headEnd/>
                            <a:tailEnd/>
                          </a:ln>
                        </pic:spPr>
                      </pic:pic>
                    </a:graphicData>
                  </a:graphic>
                </wp:inline>
              </w:drawing>
            </w:r>
          </w:p>
        </w:tc>
        <w:tc>
          <w:tcPr>
            <w:tcW w:w="5103" w:type="dxa"/>
            <w:tcBorders>
              <w:top w:val="single" w:sz="4" w:space="0" w:color="auto"/>
              <w:bottom w:val="single" w:sz="24" w:space="0" w:color="auto"/>
            </w:tcBorders>
          </w:tcPr>
          <w:p w:rsidR="00756C86" w:rsidRPr="001662B3" w:rsidRDefault="00756C86" w:rsidP="008219AC">
            <w:pPr>
              <w:pStyle w:val="Heading1"/>
              <w:spacing w:before="600" w:after="0"/>
              <w:ind w:left="0" w:firstLine="0"/>
              <w:rPr>
                <w:rFonts w:ascii="Arial" w:hAnsi="Arial" w:cs="Arial"/>
                <w:sz w:val="32"/>
                <w:szCs w:val="32"/>
              </w:rPr>
            </w:pPr>
            <w:r w:rsidRPr="001662B3">
              <w:rPr>
                <w:rFonts w:ascii="Arial" w:hAnsi="Arial" w:cs="Arial"/>
                <w:sz w:val="32"/>
                <w:szCs w:val="32"/>
              </w:rPr>
              <w:t xml:space="preserve">Stockholm Convention </w:t>
            </w:r>
            <w:r w:rsidRPr="001662B3">
              <w:rPr>
                <w:rFonts w:ascii="Arial" w:hAnsi="Arial" w:cs="Arial"/>
                <w:sz w:val="32"/>
                <w:szCs w:val="32"/>
              </w:rPr>
              <w:br/>
              <w:t xml:space="preserve">on Persistent Organic </w:t>
            </w:r>
            <w:r w:rsidRPr="001662B3">
              <w:rPr>
                <w:rFonts w:ascii="Arial" w:hAnsi="Arial" w:cs="Arial"/>
                <w:sz w:val="32"/>
                <w:szCs w:val="32"/>
              </w:rPr>
              <w:br/>
              <w:t>Pollutants</w:t>
            </w:r>
          </w:p>
        </w:tc>
        <w:tc>
          <w:tcPr>
            <w:tcW w:w="3260" w:type="dxa"/>
            <w:tcBorders>
              <w:top w:val="single" w:sz="4" w:space="0" w:color="auto"/>
              <w:bottom w:val="single" w:sz="24" w:space="0" w:color="auto"/>
            </w:tcBorders>
          </w:tcPr>
          <w:p w:rsidR="00756C86" w:rsidRPr="001662B3" w:rsidRDefault="00756C86" w:rsidP="008219AC">
            <w:pPr>
              <w:spacing w:before="120"/>
              <w:rPr>
                <w:i/>
                <w:sz w:val="20"/>
              </w:rPr>
            </w:pPr>
            <w:r w:rsidRPr="001662B3">
              <w:rPr>
                <w:sz w:val="20"/>
              </w:rPr>
              <w:t>Distr.: General</w:t>
            </w:r>
            <w:r w:rsidRPr="001662B3">
              <w:rPr>
                <w:sz w:val="20"/>
              </w:rPr>
              <w:br/>
            </w:r>
            <w:r w:rsidR="00115F71" w:rsidRPr="001662B3">
              <w:rPr>
                <w:sz w:val="20"/>
              </w:rPr>
              <w:t>28 March</w:t>
            </w:r>
            <w:r w:rsidR="00375EBA" w:rsidRPr="001662B3">
              <w:rPr>
                <w:sz w:val="20"/>
              </w:rPr>
              <w:t xml:space="preserve"> </w:t>
            </w:r>
            <w:r w:rsidRPr="001662B3">
              <w:rPr>
                <w:sz w:val="20"/>
              </w:rPr>
              <w:t>201</w:t>
            </w:r>
            <w:r w:rsidR="00375EBA" w:rsidRPr="001662B3">
              <w:rPr>
                <w:sz w:val="20"/>
              </w:rPr>
              <w:t>7</w:t>
            </w:r>
          </w:p>
          <w:p w:rsidR="00756C86" w:rsidRPr="001662B3" w:rsidRDefault="00756C86" w:rsidP="008219AC">
            <w:pPr>
              <w:spacing w:before="120"/>
              <w:rPr>
                <w:sz w:val="22"/>
              </w:rPr>
            </w:pPr>
            <w:r w:rsidRPr="001662B3">
              <w:rPr>
                <w:sz w:val="20"/>
              </w:rPr>
              <w:t>Original: English</w:t>
            </w:r>
          </w:p>
        </w:tc>
      </w:tr>
    </w:tbl>
    <w:p w:rsidR="00756C86" w:rsidRPr="001662B3" w:rsidRDefault="00756C86" w:rsidP="00756C86">
      <w:pPr>
        <w:pStyle w:val="AATitle"/>
        <w:keepNext w:val="0"/>
        <w:keepLines w:val="0"/>
      </w:pPr>
      <w:r w:rsidRPr="001662B3">
        <w:t xml:space="preserve">Conference of the Parties to the Stockholm </w:t>
      </w:r>
      <w:r w:rsidRPr="001662B3">
        <w:br/>
        <w:t>Convention on Persistent Organic Pollutants</w:t>
      </w:r>
    </w:p>
    <w:p w:rsidR="00756C86" w:rsidRPr="001662B3" w:rsidRDefault="00756C86" w:rsidP="00756C86">
      <w:pPr>
        <w:pStyle w:val="AATitle"/>
        <w:keepNext w:val="0"/>
        <w:keepLines w:val="0"/>
      </w:pPr>
      <w:r w:rsidRPr="001662B3">
        <w:t>Eighth meeting</w:t>
      </w:r>
    </w:p>
    <w:p w:rsidR="00756C86" w:rsidRPr="001662B3" w:rsidRDefault="00756C86" w:rsidP="00756C86">
      <w:pPr>
        <w:pStyle w:val="AATitle"/>
        <w:keepNext w:val="0"/>
        <w:keepLines w:val="0"/>
        <w:rPr>
          <w:b w:val="0"/>
        </w:rPr>
      </w:pPr>
      <w:r w:rsidRPr="001662B3">
        <w:rPr>
          <w:b w:val="0"/>
        </w:rPr>
        <w:t>Geneva, 24 April–5 May 2017</w:t>
      </w:r>
    </w:p>
    <w:p w:rsidR="00C44CDF" w:rsidRPr="001662B3" w:rsidRDefault="00C44CDF" w:rsidP="00E939E7">
      <w:pPr>
        <w:pStyle w:val="AATitle"/>
        <w:keepNext w:val="0"/>
        <w:keepLines w:val="0"/>
        <w:rPr>
          <w:b w:val="0"/>
        </w:rPr>
      </w:pPr>
      <w:r w:rsidRPr="001662B3">
        <w:rPr>
          <w:b w:val="0"/>
        </w:rPr>
        <w:t xml:space="preserve">Item </w:t>
      </w:r>
      <w:r w:rsidR="00D57FA8" w:rsidRPr="001662B3">
        <w:rPr>
          <w:b w:val="0"/>
        </w:rPr>
        <w:t>5</w:t>
      </w:r>
      <w:r w:rsidR="006E023C" w:rsidRPr="001662B3">
        <w:rPr>
          <w:b w:val="0"/>
        </w:rPr>
        <w:t xml:space="preserve"> (</w:t>
      </w:r>
      <w:r w:rsidR="00D57FA8" w:rsidRPr="001662B3">
        <w:rPr>
          <w:b w:val="0"/>
        </w:rPr>
        <w:t>f</w:t>
      </w:r>
      <w:r w:rsidR="006E023C" w:rsidRPr="001662B3">
        <w:rPr>
          <w:b w:val="0"/>
        </w:rPr>
        <w:t>)</w:t>
      </w:r>
      <w:r w:rsidR="00E939E7" w:rsidRPr="001662B3">
        <w:rPr>
          <w:b w:val="0"/>
        </w:rPr>
        <w:t xml:space="preserve"> </w:t>
      </w:r>
      <w:r w:rsidRPr="001662B3">
        <w:rPr>
          <w:b w:val="0"/>
        </w:rPr>
        <w:t>of the provisional agenda</w:t>
      </w:r>
      <w:r w:rsidRPr="001662B3">
        <w:rPr>
          <w:rStyle w:val="FootnoteReference"/>
          <w:b w:val="0"/>
          <w:szCs w:val="20"/>
          <w:vertAlign w:val="baseline"/>
        </w:rPr>
        <w:footnoteReference w:customMarkFollows="1" w:id="1"/>
        <w:t>*</w:t>
      </w:r>
    </w:p>
    <w:p w:rsidR="0096332C" w:rsidRPr="001662B3" w:rsidRDefault="00D57FA8" w:rsidP="00756C86">
      <w:pPr>
        <w:pStyle w:val="AATitle2"/>
        <w:ind w:right="4536"/>
      </w:pPr>
      <w:r w:rsidRPr="001662B3">
        <w:t>Matters related to the implementation of the Convention:</w:t>
      </w:r>
      <w:r w:rsidR="00756C86" w:rsidRPr="001662B3">
        <w:t xml:space="preserve"> </w:t>
      </w:r>
      <w:r w:rsidRPr="001662B3">
        <w:t>technical assistance</w:t>
      </w:r>
    </w:p>
    <w:p w:rsidR="0096332C" w:rsidRPr="001662B3" w:rsidRDefault="00D57FA8" w:rsidP="00E939E7">
      <w:pPr>
        <w:pStyle w:val="BBTitle"/>
        <w:keepNext w:val="0"/>
        <w:keepLines w:val="0"/>
        <w:spacing w:after="120"/>
      </w:pPr>
      <w:r w:rsidRPr="001662B3">
        <w:t>Stockholm Convention regional and subregional centres for capacity-building and the transfer of technology</w:t>
      </w:r>
    </w:p>
    <w:p w:rsidR="0096332C" w:rsidRPr="001662B3" w:rsidRDefault="0096332C" w:rsidP="00E939E7">
      <w:pPr>
        <w:pStyle w:val="CH2"/>
        <w:keepNext w:val="0"/>
        <w:keepLines w:val="0"/>
        <w:spacing w:before="240"/>
      </w:pPr>
      <w:r w:rsidRPr="001662B3">
        <w:tab/>
      </w:r>
      <w:r w:rsidRPr="001662B3">
        <w:tab/>
        <w:t>Note by the Secretariat</w:t>
      </w:r>
    </w:p>
    <w:p w:rsidR="00E939E7" w:rsidRPr="001662B3" w:rsidRDefault="00E939E7" w:rsidP="00E939E7">
      <w:pPr>
        <w:pStyle w:val="CH1"/>
        <w:keepNext w:val="0"/>
        <w:keepLines w:val="0"/>
      </w:pPr>
      <w:r w:rsidRPr="001662B3">
        <w:tab/>
        <w:t>I.</w:t>
      </w:r>
      <w:r w:rsidRPr="001662B3">
        <w:tab/>
        <w:t>Introduction</w:t>
      </w:r>
    </w:p>
    <w:p w:rsidR="00A3243B" w:rsidRPr="001662B3" w:rsidRDefault="000979F6">
      <w:pPr>
        <w:pStyle w:val="Normalnumber"/>
        <w:numPr>
          <w:ilvl w:val="0"/>
          <w:numId w:val="6"/>
        </w:numPr>
        <w:tabs>
          <w:tab w:val="clear" w:pos="567"/>
          <w:tab w:val="num" w:pos="624"/>
        </w:tabs>
        <w:rPr>
          <w:iCs/>
          <w:color w:val="000000"/>
        </w:rPr>
      </w:pPr>
      <w:r w:rsidRPr="001662B3">
        <w:t>In paragraph</w:t>
      </w:r>
      <w:r w:rsidRPr="001662B3">
        <w:rPr>
          <w:rFonts w:eastAsia="Arial"/>
          <w:iCs/>
          <w:color w:val="000000"/>
          <w:lang w:eastAsia="ar-SA"/>
        </w:rPr>
        <w:t xml:space="preserve"> 11 </w:t>
      </w:r>
      <w:r w:rsidRPr="001662B3">
        <w:t xml:space="preserve">of </w:t>
      </w:r>
      <w:r w:rsidRPr="001662B3">
        <w:rPr>
          <w:rFonts w:eastAsia="Arial"/>
          <w:iCs/>
          <w:color w:val="000000"/>
          <w:lang w:eastAsia="ar-SA"/>
        </w:rPr>
        <w:t>decision SC-7/17</w:t>
      </w:r>
      <w:r w:rsidR="007C4D0E" w:rsidRPr="001662B3">
        <w:rPr>
          <w:rFonts w:eastAsia="Arial"/>
          <w:iCs/>
          <w:color w:val="000000"/>
          <w:lang w:eastAsia="ar-SA"/>
        </w:rPr>
        <w:t>,</w:t>
      </w:r>
      <w:r w:rsidR="008C26D9" w:rsidRPr="001662B3">
        <w:rPr>
          <w:rFonts w:eastAsia="Arial"/>
          <w:iCs/>
          <w:color w:val="000000"/>
          <w:lang w:eastAsia="ar-SA"/>
        </w:rPr>
        <w:t xml:space="preserve"> on</w:t>
      </w:r>
      <w:r w:rsidR="008C26D9" w:rsidRPr="001662B3">
        <w:t xml:space="preserve"> </w:t>
      </w:r>
      <w:r w:rsidR="008C26D9" w:rsidRPr="001662B3">
        <w:rPr>
          <w:rFonts w:eastAsia="Arial"/>
          <w:iCs/>
          <w:color w:val="000000"/>
          <w:lang w:eastAsia="ar-SA"/>
        </w:rPr>
        <w:t>Stockholm Convention regional and subregional centres for capacity-building and the transfer of technology</w:t>
      </w:r>
      <w:r w:rsidR="00DD6127" w:rsidRPr="001662B3">
        <w:rPr>
          <w:rFonts w:eastAsia="Arial"/>
          <w:iCs/>
          <w:color w:val="000000"/>
          <w:lang w:eastAsia="ar-SA"/>
        </w:rPr>
        <w:t xml:space="preserve">, the Conference of the Parties </w:t>
      </w:r>
      <w:r w:rsidR="007C4D0E" w:rsidRPr="001662B3">
        <w:rPr>
          <w:rFonts w:eastAsia="Arial"/>
          <w:iCs/>
          <w:color w:val="000000"/>
          <w:lang w:eastAsia="ar-SA"/>
        </w:rPr>
        <w:t xml:space="preserve">to </w:t>
      </w:r>
      <w:r w:rsidR="00DD6127" w:rsidRPr="001662B3">
        <w:rPr>
          <w:rFonts w:eastAsia="Arial"/>
          <w:iCs/>
          <w:color w:val="000000"/>
          <w:lang w:eastAsia="ar-SA"/>
        </w:rPr>
        <w:t xml:space="preserve">the Stockholm </w:t>
      </w:r>
      <w:r w:rsidRPr="001662B3">
        <w:rPr>
          <w:rFonts w:eastAsia="Arial"/>
          <w:iCs/>
          <w:color w:val="000000"/>
          <w:lang w:eastAsia="ar-SA"/>
        </w:rPr>
        <w:t>C</w:t>
      </w:r>
      <w:r w:rsidR="00DD6127" w:rsidRPr="001662B3">
        <w:rPr>
          <w:rFonts w:eastAsia="Arial"/>
          <w:iCs/>
          <w:color w:val="000000"/>
          <w:lang w:eastAsia="ar-SA"/>
        </w:rPr>
        <w:t xml:space="preserve">onvention </w:t>
      </w:r>
      <w:r w:rsidR="008C26D9" w:rsidRPr="001662B3">
        <w:rPr>
          <w:rFonts w:eastAsia="Arial"/>
          <w:iCs/>
          <w:color w:val="000000"/>
          <w:lang w:eastAsia="ar-SA"/>
        </w:rPr>
        <w:t xml:space="preserve">on Persistent Organic Pollutants </w:t>
      </w:r>
      <w:r w:rsidR="00A3243B" w:rsidRPr="001662B3">
        <w:rPr>
          <w:rFonts w:eastAsia="Arial"/>
          <w:iCs/>
          <w:color w:val="000000"/>
          <w:lang w:eastAsia="ar-SA"/>
        </w:rPr>
        <w:t>requested</w:t>
      </w:r>
      <w:r w:rsidR="00643246" w:rsidRPr="001662B3">
        <w:rPr>
          <w:color w:val="000000"/>
        </w:rPr>
        <w:t xml:space="preserve"> </w:t>
      </w:r>
      <w:r w:rsidR="00EA5643" w:rsidRPr="001662B3">
        <w:rPr>
          <w:color w:val="000000"/>
        </w:rPr>
        <w:t>the Stockholm Convention regional and subregional centres</w:t>
      </w:r>
      <w:r w:rsidR="008C26D9" w:rsidRPr="001662B3">
        <w:rPr>
          <w:color w:val="000000"/>
        </w:rPr>
        <w:t xml:space="preserve"> to submit to the Secretariat</w:t>
      </w:r>
      <w:r w:rsidR="00A3243B" w:rsidRPr="001662B3">
        <w:rPr>
          <w:rFonts w:eastAsia="Arial"/>
          <w:color w:val="000000"/>
          <w:lang w:eastAsia="ar-SA"/>
        </w:rPr>
        <w:t>:</w:t>
      </w:r>
    </w:p>
    <w:p w:rsidR="00A3243B" w:rsidRPr="001662B3" w:rsidRDefault="00EA5643" w:rsidP="008A031B">
      <w:pPr>
        <w:pStyle w:val="Normalnumber"/>
        <w:numPr>
          <w:ilvl w:val="1"/>
          <w:numId w:val="8"/>
        </w:numPr>
        <w:tabs>
          <w:tab w:val="left" w:pos="624"/>
        </w:tabs>
        <w:ind w:left="1247" w:firstLine="624"/>
        <w:rPr>
          <w:color w:val="000000"/>
        </w:rPr>
      </w:pPr>
      <w:r w:rsidRPr="001662B3">
        <w:rPr>
          <w:color w:val="000000"/>
        </w:rPr>
        <w:t>T</w:t>
      </w:r>
      <w:r w:rsidR="00A3243B" w:rsidRPr="001662B3">
        <w:rPr>
          <w:color w:val="000000"/>
        </w:rPr>
        <w:t>heir workplans for the period 1 January 2016</w:t>
      </w:r>
      <w:r w:rsidR="007C4D0E" w:rsidRPr="001662B3">
        <w:rPr>
          <w:color w:val="000000"/>
        </w:rPr>
        <w:t>–</w:t>
      </w:r>
      <w:r w:rsidR="00A3243B" w:rsidRPr="001662B3">
        <w:rPr>
          <w:color w:val="000000"/>
        </w:rPr>
        <w:t>31 December 2019 by 30 </w:t>
      </w:r>
      <w:r w:rsidR="00A3243B" w:rsidRPr="001662B3">
        <w:t>September</w:t>
      </w:r>
      <w:r w:rsidR="00A3243B" w:rsidRPr="001662B3">
        <w:rPr>
          <w:color w:val="000000"/>
        </w:rPr>
        <w:t xml:space="preserve"> 2015;</w:t>
      </w:r>
    </w:p>
    <w:p w:rsidR="00A3243B" w:rsidRPr="001662B3" w:rsidRDefault="00EA5643" w:rsidP="008A031B">
      <w:pPr>
        <w:pStyle w:val="Normalnumber"/>
        <w:numPr>
          <w:ilvl w:val="1"/>
          <w:numId w:val="8"/>
        </w:numPr>
        <w:ind w:left="1247" w:firstLine="624"/>
        <w:rPr>
          <w:b/>
          <w:color w:val="000000"/>
        </w:rPr>
      </w:pPr>
      <w:r w:rsidRPr="001662B3">
        <w:rPr>
          <w:color w:val="000000"/>
        </w:rPr>
        <w:t>T</w:t>
      </w:r>
      <w:r w:rsidR="00A3243B" w:rsidRPr="001662B3">
        <w:rPr>
          <w:color w:val="000000"/>
        </w:rPr>
        <w:t>heir activity reports for the period 1 January 2015</w:t>
      </w:r>
      <w:r w:rsidR="007C4D0E" w:rsidRPr="001662B3">
        <w:rPr>
          <w:color w:val="000000"/>
        </w:rPr>
        <w:t>–</w:t>
      </w:r>
      <w:r w:rsidR="00A3243B" w:rsidRPr="001662B3">
        <w:rPr>
          <w:color w:val="000000"/>
        </w:rPr>
        <w:t>31 December 2016 by 31 December 2016</w:t>
      </w:r>
      <w:r w:rsidR="00560464" w:rsidRPr="001662B3">
        <w:rPr>
          <w:color w:val="000000"/>
        </w:rPr>
        <w:t>.</w:t>
      </w:r>
      <w:r w:rsidR="00A3243B" w:rsidRPr="001662B3">
        <w:rPr>
          <w:b/>
          <w:color w:val="000000"/>
        </w:rPr>
        <w:t xml:space="preserve"> </w:t>
      </w:r>
    </w:p>
    <w:p w:rsidR="00EA5643" w:rsidRPr="001662B3" w:rsidRDefault="00643246" w:rsidP="00A134FC">
      <w:pPr>
        <w:pStyle w:val="Normalnumber"/>
        <w:numPr>
          <w:ilvl w:val="0"/>
          <w:numId w:val="6"/>
        </w:numPr>
        <w:tabs>
          <w:tab w:val="left" w:pos="624"/>
        </w:tabs>
      </w:pPr>
      <w:r w:rsidRPr="001662B3">
        <w:t xml:space="preserve">In </w:t>
      </w:r>
      <w:r w:rsidR="00E510AF" w:rsidRPr="001662B3">
        <w:t xml:space="preserve">paragraph 12 of </w:t>
      </w:r>
      <w:r w:rsidR="008C26D9" w:rsidRPr="001662B3">
        <w:t xml:space="preserve">the same </w:t>
      </w:r>
      <w:r w:rsidR="00E510AF" w:rsidRPr="001662B3">
        <w:t>decision, the Conference of the Parties requested</w:t>
      </w:r>
      <w:r w:rsidR="00437987" w:rsidRPr="001662B3">
        <w:rPr>
          <w:rFonts w:eastAsia="Arial"/>
          <w:iCs/>
          <w:color w:val="000000"/>
          <w:lang w:eastAsia="ar-SA"/>
        </w:rPr>
        <w:t xml:space="preserve"> </w:t>
      </w:r>
      <w:r w:rsidR="00EA5643" w:rsidRPr="001662B3">
        <w:rPr>
          <w:color w:val="000000"/>
        </w:rPr>
        <w:t>the Secretariat</w:t>
      </w:r>
      <w:r w:rsidR="00A81549" w:rsidRPr="001662B3">
        <w:rPr>
          <w:color w:val="000000"/>
        </w:rPr>
        <w:t>, among others things</w:t>
      </w:r>
      <w:r w:rsidR="00EA5643" w:rsidRPr="001662B3">
        <w:rPr>
          <w:color w:val="000000"/>
        </w:rPr>
        <w:t>:</w:t>
      </w:r>
    </w:p>
    <w:p w:rsidR="00B22A2D" w:rsidRPr="001662B3" w:rsidRDefault="00B72A1B" w:rsidP="008A031B">
      <w:pPr>
        <w:pStyle w:val="Normalnumber"/>
        <w:numPr>
          <w:ilvl w:val="0"/>
          <w:numId w:val="9"/>
        </w:numPr>
        <w:ind w:left="1247" w:firstLine="624"/>
        <w:rPr>
          <w:color w:val="000000"/>
        </w:rPr>
      </w:pPr>
      <w:r w:rsidRPr="001662B3">
        <w:rPr>
          <w:color w:val="000000"/>
        </w:rPr>
        <w:t>T</w:t>
      </w:r>
      <w:r w:rsidR="00E510AF" w:rsidRPr="001662B3">
        <w:rPr>
          <w:color w:val="000000"/>
        </w:rPr>
        <w:t xml:space="preserve">o prepare a report on the activities of the regional </w:t>
      </w:r>
      <w:r w:rsidR="000F70AF" w:rsidRPr="001662B3">
        <w:rPr>
          <w:color w:val="000000"/>
        </w:rPr>
        <w:t xml:space="preserve">and subregional </w:t>
      </w:r>
      <w:r w:rsidR="00E510AF" w:rsidRPr="001662B3">
        <w:rPr>
          <w:color w:val="000000"/>
        </w:rPr>
        <w:t>centres, for consideration by the Conference of the Parties at its eighth meeting, including an assessment of how to improve the efficiency and effectiveness of the network of centres;</w:t>
      </w:r>
    </w:p>
    <w:p w:rsidR="00B22A2D" w:rsidRPr="001662B3" w:rsidRDefault="00B72A1B" w:rsidP="008A031B">
      <w:pPr>
        <w:pStyle w:val="Normalnumber"/>
        <w:numPr>
          <w:ilvl w:val="0"/>
          <w:numId w:val="9"/>
        </w:numPr>
        <w:ind w:left="1247" w:firstLine="624"/>
        <w:rPr>
          <w:color w:val="000000"/>
        </w:rPr>
      </w:pPr>
      <w:r w:rsidRPr="001662B3">
        <w:rPr>
          <w:color w:val="000000"/>
        </w:rPr>
        <w:t>T</w:t>
      </w:r>
      <w:r w:rsidR="00E510AF" w:rsidRPr="001662B3">
        <w:rPr>
          <w:color w:val="000000"/>
        </w:rPr>
        <w:t>o consider possible adjustments to the methodology for evaluating regional centres</w:t>
      </w:r>
      <w:r w:rsidR="00B22A2D" w:rsidRPr="001662B3">
        <w:rPr>
          <w:color w:val="000000"/>
        </w:rPr>
        <w:t xml:space="preserve"> adopted by the Conference of the Parties</w:t>
      </w:r>
      <w:r w:rsidR="00E510AF" w:rsidRPr="001662B3">
        <w:rPr>
          <w:color w:val="000000"/>
        </w:rPr>
        <w:t>,</w:t>
      </w:r>
      <w:r w:rsidR="00E70CB6" w:rsidRPr="001662B3">
        <w:rPr>
          <w:rStyle w:val="FootnoteReference"/>
        </w:rPr>
        <w:footnoteReference w:id="2"/>
      </w:r>
      <w:r w:rsidR="00E510AF" w:rsidRPr="001662B3">
        <w:rPr>
          <w:color w:val="000000"/>
        </w:rPr>
        <w:t xml:space="preserve"> taking into account lessons learned, the views of the centres</w:t>
      </w:r>
      <w:r w:rsidR="00E70CB6" w:rsidRPr="001662B3">
        <w:rPr>
          <w:color w:val="000000"/>
        </w:rPr>
        <w:t xml:space="preserve"> and </w:t>
      </w:r>
      <w:r w:rsidR="003849F1" w:rsidRPr="001662B3">
        <w:rPr>
          <w:color w:val="000000"/>
        </w:rPr>
        <w:t xml:space="preserve">the views </w:t>
      </w:r>
      <w:r w:rsidR="00E510AF" w:rsidRPr="001662B3">
        <w:rPr>
          <w:color w:val="000000"/>
        </w:rPr>
        <w:t xml:space="preserve">of </w:t>
      </w:r>
      <w:r w:rsidR="00643246" w:rsidRPr="001662B3">
        <w:rPr>
          <w:color w:val="000000"/>
        </w:rPr>
        <w:t>P</w:t>
      </w:r>
      <w:r w:rsidR="00E510AF" w:rsidRPr="001662B3">
        <w:rPr>
          <w:color w:val="000000"/>
        </w:rPr>
        <w:t>arties</w:t>
      </w:r>
      <w:r w:rsidR="00560464" w:rsidRPr="001662B3">
        <w:rPr>
          <w:color w:val="000000"/>
        </w:rPr>
        <w:t>.</w:t>
      </w:r>
      <w:r w:rsidR="00E510AF" w:rsidRPr="001662B3">
        <w:rPr>
          <w:color w:val="000000"/>
        </w:rPr>
        <w:t xml:space="preserve"> </w:t>
      </w:r>
    </w:p>
    <w:p w:rsidR="00CC035D" w:rsidRPr="001662B3" w:rsidRDefault="008C26D9" w:rsidP="008A031B">
      <w:pPr>
        <w:pStyle w:val="Normalnumber"/>
        <w:numPr>
          <w:ilvl w:val="0"/>
          <w:numId w:val="6"/>
        </w:numPr>
        <w:tabs>
          <w:tab w:val="clear" w:pos="567"/>
          <w:tab w:val="left" w:pos="624"/>
        </w:tabs>
        <w:rPr>
          <w:color w:val="000000"/>
        </w:rPr>
      </w:pPr>
      <w:r w:rsidRPr="001662B3">
        <w:rPr>
          <w:rFonts w:eastAsia="Arial"/>
          <w:iCs/>
          <w:color w:val="000000"/>
          <w:lang w:eastAsia="ar-SA"/>
        </w:rPr>
        <w:t>In</w:t>
      </w:r>
      <w:r w:rsidR="00CC035D" w:rsidRPr="001662B3">
        <w:rPr>
          <w:rFonts w:eastAsia="Arial"/>
          <w:iCs/>
          <w:color w:val="000000"/>
          <w:lang w:eastAsia="ar-SA"/>
        </w:rPr>
        <w:t xml:space="preserve"> paragraph 17 of the same decision, the Conference of the Parties invited all regional </w:t>
      </w:r>
      <w:r w:rsidR="00B80184" w:rsidRPr="001662B3">
        <w:rPr>
          <w:rFonts w:eastAsia="Arial"/>
          <w:iCs/>
          <w:color w:val="000000"/>
          <w:lang w:eastAsia="ar-SA"/>
        </w:rPr>
        <w:t xml:space="preserve">and subregional </w:t>
      </w:r>
      <w:r w:rsidR="00CC035D" w:rsidRPr="001662B3">
        <w:rPr>
          <w:rFonts w:eastAsia="Arial"/>
          <w:iCs/>
          <w:color w:val="000000"/>
          <w:lang w:eastAsia="ar-SA"/>
        </w:rPr>
        <w:t xml:space="preserve">centres </w:t>
      </w:r>
      <w:r w:rsidR="00CC035D" w:rsidRPr="001662B3">
        <w:rPr>
          <w:color w:val="000000"/>
        </w:rPr>
        <w:t>undertaking activities on mercury-related issues under the Convention</w:t>
      </w:r>
      <w:r w:rsidR="00BE7638" w:rsidRPr="001662B3">
        <w:rPr>
          <w:color w:val="000000"/>
        </w:rPr>
        <w:t xml:space="preserve"> </w:t>
      </w:r>
      <w:r w:rsidR="00CC035D" w:rsidRPr="001662B3">
        <w:rPr>
          <w:color w:val="000000"/>
        </w:rPr>
        <w:t>to provide information</w:t>
      </w:r>
      <w:r w:rsidR="00BC2317" w:rsidRPr="001662B3">
        <w:rPr>
          <w:color w:val="000000"/>
        </w:rPr>
        <w:t xml:space="preserve"> </w:t>
      </w:r>
      <w:r w:rsidR="007F6085" w:rsidRPr="001662B3">
        <w:rPr>
          <w:color w:val="000000"/>
        </w:rPr>
        <w:t xml:space="preserve">on those activities </w:t>
      </w:r>
      <w:r w:rsidR="00BC2317" w:rsidRPr="001662B3">
        <w:rPr>
          <w:color w:val="000000"/>
        </w:rPr>
        <w:t>to</w:t>
      </w:r>
      <w:r w:rsidR="00CC035D" w:rsidRPr="001662B3">
        <w:rPr>
          <w:color w:val="000000"/>
        </w:rPr>
        <w:t xml:space="preserve"> the Secretariat</w:t>
      </w:r>
      <w:r w:rsidR="00BF4352" w:rsidRPr="001662B3">
        <w:rPr>
          <w:color w:val="000000"/>
        </w:rPr>
        <w:t>,</w:t>
      </w:r>
      <w:r w:rsidR="00CC035D" w:rsidRPr="001662B3">
        <w:rPr>
          <w:color w:val="000000"/>
        </w:rPr>
        <w:t xml:space="preserve"> </w:t>
      </w:r>
      <w:r w:rsidR="00BC2317" w:rsidRPr="001662B3">
        <w:rPr>
          <w:color w:val="000000"/>
        </w:rPr>
        <w:t xml:space="preserve">which </w:t>
      </w:r>
      <w:r w:rsidR="00BA77CD" w:rsidRPr="001662B3">
        <w:rPr>
          <w:color w:val="000000"/>
        </w:rPr>
        <w:t xml:space="preserve">was requested to </w:t>
      </w:r>
      <w:r w:rsidR="00CC035D" w:rsidRPr="001662B3">
        <w:rPr>
          <w:color w:val="000000"/>
        </w:rPr>
        <w:t xml:space="preserve">forward </w:t>
      </w:r>
      <w:r w:rsidR="00BE7638" w:rsidRPr="001662B3">
        <w:rPr>
          <w:color w:val="000000"/>
        </w:rPr>
        <w:t>it</w:t>
      </w:r>
      <w:r w:rsidR="00BA77CD" w:rsidRPr="001662B3">
        <w:rPr>
          <w:color w:val="000000"/>
        </w:rPr>
        <w:t xml:space="preserve"> </w:t>
      </w:r>
      <w:r w:rsidR="00CC035D" w:rsidRPr="001662B3">
        <w:rPr>
          <w:color w:val="000000"/>
        </w:rPr>
        <w:t>to the interim secretariat of the Minamata Convention on Mercury for possible consideration by the intergovernmental negotiating committee to prepare a global legally binding instrument on mercury at its seventh session</w:t>
      </w:r>
      <w:r w:rsidR="00560464" w:rsidRPr="001662B3">
        <w:rPr>
          <w:color w:val="000000"/>
        </w:rPr>
        <w:t>.</w:t>
      </w:r>
    </w:p>
    <w:p w:rsidR="000705B3" w:rsidRPr="001662B3" w:rsidRDefault="00437987" w:rsidP="00756C86">
      <w:pPr>
        <w:pStyle w:val="Normalnumber"/>
        <w:numPr>
          <w:ilvl w:val="0"/>
          <w:numId w:val="6"/>
        </w:numPr>
        <w:tabs>
          <w:tab w:val="clear" w:pos="567"/>
          <w:tab w:val="num" w:pos="624"/>
        </w:tabs>
      </w:pPr>
      <w:r w:rsidRPr="001662B3">
        <w:lastRenderedPageBreak/>
        <w:t>In</w:t>
      </w:r>
      <w:r w:rsidR="0076324A" w:rsidRPr="001662B3">
        <w:t xml:space="preserve"> </w:t>
      </w:r>
      <w:r w:rsidR="00DC214A" w:rsidRPr="001662B3">
        <w:rPr>
          <w:rFonts w:eastAsia="Arial"/>
          <w:iCs/>
          <w:color w:val="000000"/>
          <w:lang w:eastAsia="ar-SA"/>
        </w:rPr>
        <w:t>paragraph</w:t>
      </w:r>
      <w:r w:rsidR="0076324A" w:rsidRPr="001662B3">
        <w:t xml:space="preserve"> 18 of </w:t>
      </w:r>
      <w:r w:rsidR="00A90645" w:rsidRPr="001662B3">
        <w:t xml:space="preserve">the same </w:t>
      </w:r>
      <w:r w:rsidR="0076324A" w:rsidRPr="001662B3">
        <w:t>decision, the Conference of the Parties requested</w:t>
      </w:r>
      <w:r w:rsidR="00DD5E14" w:rsidRPr="001662B3">
        <w:t xml:space="preserve"> </w:t>
      </w:r>
      <w:r w:rsidR="00DC214A" w:rsidRPr="001662B3">
        <w:rPr>
          <w:color w:val="000000"/>
        </w:rPr>
        <w:t xml:space="preserve">the Secretariat, among </w:t>
      </w:r>
      <w:r w:rsidR="00BA02BF" w:rsidRPr="001662B3">
        <w:rPr>
          <w:color w:val="000000"/>
        </w:rPr>
        <w:t>thing</w:t>
      </w:r>
      <w:r w:rsidR="00DC214A" w:rsidRPr="001662B3">
        <w:rPr>
          <w:color w:val="000000"/>
        </w:rPr>
        <w:t>s</w:t>
      </w:r>
      <w:r w:rsidR="00AA312D" w:rsidRPr="001662B3">
        <w:rPr>
          <w:color w:val="000000"/>
        </w:rPr>
        <w:t>,</w:t>
      </w:r>
      <w:r w:rsidR="00DC214A" w:rsidRPr="001662B3">
        <w:rPr>
          <w:color w:val="000000"/>
        </w:rPr>
        <w:t xml:space="preserve"> to continue to organize meetings every two years between the directors of regional centres and the Secretariat.</w:t>
      </w:r>
    </w:p>
    <w:p w:rsidR="00E939E7" w:rsidRPr="001662B3" w:rsidRDefault="00E939E7" w:rsidP="00E939E7">
      <w:pPr>
        <w:pStyle w:val="CH1"/>
      </w:pPr>
      <w:r w:rsidRPr="001662B3">
        <w:tab/>
        <w:t>II.</w:t>
      </w:r>
      <w:r w:rsidRPr="001662B3">
        <w:rPr>
          <w:b w:val="0"/>
          <w:bCs/>
        </w:rPr>
        <w:tab/>
      </w:r>
      <w:r w:rsidRPr="001662B3">
        <w:t>Implementation</w:t>
      </w:r>
    </w:p>
    <w:p w:rsidR="00A27B2E" w:rsidRPr="001662B3" w:rsidRDefault="00756C86" w:rsidP="00756C86">
      <w:pPr>
        <w:pStyle w:val="CH2"/>
      </w:pPr>
      <w:r w:rsidRPr="001662B3">
        <w:tab/>
        <w:t>A.</w:t>
      </w:r>
      <w:r w:rsidRPr="001662B3">
        <w:tab/>
      </w:r>
      <w:r w:rsidR="00935390" w:rsidRPr="001662B3">
        <w:t>Workplans and activity reports of the regional centres</w:t>
      </w:r>
      <w:r w:rsidR="00E939E7" w:rsidRPr="001662B3">
        <w:t xml:space="preserve"> </w:t>
      </w:r>
    </w:p>
    <w:p w:rsidR="00935390" w:rsidRPr="001662B3" w:rsidRDefault="00935390" w:rsidP="006C6DA9">
      <w:pPr>
        <w:pStyle w:val="Normalnumber"/>
        <w:numPr>
          <w:ilvl w:val="0"/>
          <w:numId w:val="6"/>
        </w:numPr>
        <w:tabs>
          <w:tab w:val="clear" w:pos="567"/>
          <w:tab w:val="num" w:pos="624"/>
        </w:tabs>
      </w:pPr>
      <w:r w:rsidRPr="001662B3">
        <w:t xml:space="preserve">As at </w:t>
      </w:r>
      <w:r w:rsidR="00E96C04" w:rsidRPr="001662B3">
        <w:t>31 December 2016</w:t>
      </w:r>
      <w:r w:rsidRPr="001662B3">
        <w:t xml:space="preserve">, </w:t>
      </w:r>
      <w:r w:rsidR="00367AF1" w:rsidRPr="001662B3">
        <w:t>15</w:t>
      </w:r>
      <w:r w:rsidRPr="001662B3">
        <w:t xml:space="preserve"> </w:t>
      </w:r>
      <w:r w:rsidR="00437987" w:rsidRPr="001662B3">
        <w:t xml:space="preserve">of the 16 </w:t>
      </w:r>
      <w:r w:rsidRPr="001662B3">
        <w:t xml:space="preserve">regional and subregional centres had submitted their workplans for the </w:t>
      </w:r>
      <w:r w:rsidR="00F303B7" w:rsidRPr="001662B3">
        <w:t xml:space="preserve">period from 1 January </w:t>
      </w:r>
      <w:r w:rsidRPr="001662B3">
        <w:t>201</w:t>
      </w:r>
      <w:r w:rsidR="00367AF1" w:rsidRPr="001662B3">
        <w:t>6</w:t>
      </w:r>
      <w:r w:rsidR="00F303B7" w:rsidRPr="001662B3">
        <w:t xml:space="preserve"> to 31 December </w:t>
      </w:r>
      <w:r w:rsidRPr="001662B3">
        <w:t>201</w:t>
      </w:r>
      <w:r w:rsidR="00367AF1" w:rsidRPr="001662B3">
        <w:t>9</w:t>
      </w:r>
      <w:r w:rsidRPr="001662B3">
        <w:t xml:space="preserve"> to the Secretariat.</w:t>
      </w:r>
      <w:r w:rsidRPr="001662B3">
        <w:rPr>
          <w:rStyle w:val="FootnoteReference"/>
        </w:rPr>
        <w:footnoteReference w:id="3"/>
      </w:r>
      <w:r w:rsidRPr="001662B3">
        <w:t xml:space="preserve"> </w:t>
      </w:r>
    </w:p>
    <w:p w:rsidR="00935390" w:rsidRPr="001662B3" w:rsidRDefault="00935390" w:rsidP="00756C86">
      <w:pPr>
        <w:pStyle w:val="Normalnumber"/>
        <w:numPr>
          <w:ilvl w:val="0"/>
          <w:numId w:val="6"/>
        </w:numPr>
        <w:tabs>
          <w:tab w:val="clear" w:pos="567"/>
          <w:tab w:val="num" w:pos="624"/>
        </w:tabs>
      </w:pPr>
      <w:r w:rsidRPr="001662B3">
        <w:t xml:space="preserve">As at </w:t>
      </w:r>
      <w:r w:rsidR="00375EBA" w:rsidRPr="001662B3">
        <w:t>23 January 2017</w:t>
      </w:r>
      <w:r w:rsidRPr="001662B3">
        <w:t xml:space="preserve">, </w:t>
      </w:r>
      <w:r w:rsidR="00375EBA" w:rsidRPr="001662B3">
        <w:t>11</w:t>
      </w:r>
      <w:r w:rsidRPr="001662B3">
        <w:t xml:space="preserve"> regional and subregional centres had submitted their activity reports for the period from 1 January 201</w:t>
      </w:r>
      <w:r w:rsidR="00367AF1" w:rsidRPr="001662B3">
        <w:t>5</w:t>
      </w:r>
      <w:r w:rsidRPr="001662B3">
        <w:t xml:space="preserve"> to 31 December 201</w:t>
      </w:r>
      <w:r w:rsidR="00367AF1" w:rsidRPr="001662B3">
        <w:t>6</w:t>
      </w:r>
      <w:r w:rsidRPr="001662B3">
        <w:t>.</w:t>
      </w:r>
      <w:r w:rsidRPr="001662B3">
        <w:rPr>
          <w:rStyle w:val="FootnoteReference"/>
        </w:rPr>
        <w:footnoteReference w:id="4"/>
      </w:r>
    </w:p>
    <w:p w:rsidR="00764F7A" w:rsidRPr="001662B3" w:rsidRDefault="00BA02BF" w:rsidP="00756C86">
      <w:pPr>
        <w:pStyle w:val="Normalnumber"/>
        <w:numPr>
          <w:ilvl w:val="0"/>
          <w:numId w:val="6"/>
        </w:numPr>
        <w:tabs>
          <w:tab w:val="clear" w:pos="567"/>
          <w:tab w:val="num" w:pos="624"/>
        </w:tabs>
      </w:pPr>
      <w:r w:rsidRPr="001662B3">
        <w:t>A</w:t>
      </w:r>
      <w:r w:rsidR="00764F7A" w:rsidRPr="001662B3">
        <w:t xml:space="preserve"> report </w:t>
      </w:r>
      <w:r w:rsidR="0085545B" w:rsidRPr="001662B3">
        <w:t xml:space="preserve">prepared by the Secretariat </w:t>
      </w:r>
      <w:r w:rsidR="00764F7A" w:rsidRPr="001662B3">
        <w:t>on the activities of the regional centres</w:t>
      </w:r>
      <w:r w:rsidR="0085545B" w:rsidRPr="001662B3">
        <w:t>,</w:t>
      </w:r>
      <w:r w:rsidR="008A7E1D" w:rsidRPr="001662B3">
        <w:t xml:space="preserve"> including an assessment of how to improve the efficiency and effectiveness of the network of centres</w:t>
      </w:r>
      <w:r w:rsidR="0085545B" w:rsidRPr="001662B3">
        <w:t>,</w:t>
      </w:r>
      <w:r w:rsidRPr="001662B3">
        <w:t xml:space="preserve"> is set out in document</w:t>
      </w:r>
      <w:r w:rsidR="00764F7A" w:rsidRPr="001662B3">
        <w:t xml:space="preserve"> </w:t>
      </w:r>
      <w:r w:rsidR="0011667D" w:rsidRPr="001662B3">
        <w:t>UNEP/CHW.13/INF/29</w:t>
      </w:r>
      <w:r w:rsidR="00BE5FD6" w:rsidRPr="001662B3">
        <w:t>/Rev.1</w:t>
      </w:r>
      <w:r w:rsidR="0011667D" w:rsidRPr="001662B3">
        <w:t>-UNEP/POPS/COP.8/INF/26</w:t>
      </w:r>
      <w:r w:rsidR="00BE5FD6" w:rsidRPr="001662B3">
        <w:t>/Rev.1</w:t>
      </w:r>
      <w:r w:rsidR="00764F7A" w:rsidRPr="001662B3">
        <w:t>.</w:t>
      </w:r>
    </w:p>
    <w:p w:rsidR="00A27B2E" w:rsidRPr="001662B3" w:rsidRDefault="00756C86" w:rsidP="00756C86">
      <w:pPr>
        <w:pStyle w:val="CH2"/>
        <w:rPr>
          <w:b w:val="0"/>
          <w:bCs/>
        </w:rPr>
      </w:pPr>
      <w:r w:rsidRPr="001662B3">
        <w:tab/>
        <w:t>B.</w:t>
      </w:r>
      <w:r w:rsidRPr="001662B3">
        <w:tab/>
      </w:r>
      <w:r w:rsidR="00171024" w:rsidRPr="001662B3">
        <w:t>P</w:t>
      </w:r>
      <w:r w:rsidR="00DD5E14" w:rsidRPr="001662B3">
        <w:t>ossible</w:t>
      </w:r>
      <w:r w:rsidR="00DD5E14" w:rsidRPr="001662B3">
        <w:rPr>
          <w:bCs/>
        </w:rPr>
        <w:t xml:space="preserve"> adjustments to </w:t>
      </w:r>
      <w:r w:rsidR="00764F7A" w:rsidRPr="001662B3">
        <w:rPr>
          <w:bCs/>
        </w:rPr>
        <w:t xml:space="preserve">the </w:t>
      </w:r>
      <w:r w:rsidR="00437987" w:rsidRPr="001662B3">
        <w:rPr>
          <w:bCs/>
        </w:rPr>
        <w:t>m</w:t>
      </w:r>
      <w:r w:rsidR="00764F7A" w:rsidRPr="001662B3">
        <w:rPr>
          <w:bCs/>
        </w:rPr>
        <w:t xml:space="preserve">ethodology </w:t>
      </w:r>
      <w:r w:rsidR="00E24AEB" w:rsidRPr="001662B3">
        <w:rPr>
          <w:bCs/>
        </w:rPr>
        <w:t xml:space="preserve">for </w:t>
      </w:r>
      <w:r w:rsidR="00764F7A" w:rsidRPr="001662B3">
        <w:rPr>
          <w:bCs/>
        </w:rPr>
        <w:t>evaluat</w:t>
      </w:r>
      <w:r w:rsidR="00E24AEB" w:rsidRPr="001662B3">
        <w:rPr>
          <w:bCs/>
        </w:rPr>
        <w:t>ing</w:t>
      </w:r>
      <w:r w:rsidR="00764F7A" w:rsidRPr="001662B3">
        <w:rPr>
          <w:bCs/>
        </w:rPr>
        <w:t xml:space="preserve"> the </w:t>
      </w:r>
      <w:r w:rsidR="00437987" w:rsidRPr="001662B3">
        <w:rPr>
          <w:bCs/>
        </w:rPr>
        <w:t>regional c</w:t>
      </w:r>
      <w:r w:rsidR="00764F7A" w:rsidRPr="001662B3">
        <w:rPr>
          <w:bCs/>
        </w:rPr>
        <w:t>entres</w:t>
      </w:r>
    </w:p>
    <w:p w:rsidR="00735639" w:rsidRPr="001662B3" w:rsidRDefault="00764F7A" w:rsidP="00756C86">
      <w:pPr>
        <w:pStyle w:val="Normalnumber"/>
        <w:numPr>
          <w:ilvl w:val="0"/>
          <w:numId w:val="6"/>
        </w:numPr>
        <w:tabs>
          <w:tab w:val="clear" w:pos="567"/>
          <w:tab w:val="num" w:pos="624"/>
        </w:tabs>
      </w:pPr>
      <w:r w:rsidRPr="001662B3">
        <w:t xml:space="preserve">On </w:t>
      </w:r>
      <w:r w:rsidR="008A7E1D" w:rsidRPr="001662B3">
        <w:t>20 April 2016</w:t>
      </w:r>
      <w:r w:rsidR="00437987" w:rsidRPr="001662B3">
        <w:t>,</w:t>
      </w:r>
      <w:r w:rsidR="008A7E1D" w:rsidRPr="001662B3">
        <w:t xml:space="preserve"> the Secretariat </w:t>
      </w:r>
      <w:r w:rsidR="00F303B7" w:rsidRPr="001662B3">
        <w:t xml:space="preserve">sent a letter to the </w:t>
      </w:r>
      <w:r w:rsidR="00587DD4" w:rsidRPr="001662B3">
        <w:t xml:space="preserve">regional </w:t>
      </w:r>
      <w:r w:rsidR="00E70CB6" w:rsidRPr="001662B3">
        <w:t>c</w:t>
      </w:r>
      <w:r w:rsidR="00F303B7" w:rsidRPr="001662B3">
        <w:t xml:space="preserve">entres and to all Parties </w:t>
      </w:r>
      <w:r w:rsidR="008A7E1D" w:rsidRPr="001662B3">
        <w:t>invit</w:t>
      </w:r>
      <w:r w:rsidR="00F303B7" w:rsidRPr="001662B3">
        <w:t>ing</w:t>
      </w:r>
      <w:r w:rsidR="008A7E1D" w:rsidRPr="001662B3">
        <w:t xml:space="preserve"> </w:t>
      </w:r>
      <w:r w:rsidR="00F303B7" w:rsidRPr="001662B3">
        <w:t>their</w:t>
      </w:r>
      <w:r w:rsidR="008A7E1D" w:rsidRPr="001662B3">
        <w:t xml:space="preserve"> </w:t>
      </w:r>
      <w:r w:rsidR="00CC035D" w:rsidRPr="001662B3">
        <w:t>views on</w:t>
      </w:r>
      <w:r w:rsidR="00171024" w:rsidRPr="001662B3">
        <w:t xml:space="preserve"> possible </w:t>
      </w:r>
      <w:r w:rsidR="00CC035D" w:rsidRPr="001662B3">
        <w:rPr>
          <w:color w:val="000000"/>
        </w:rPr>
        <w:t xml:space="preserve">adjustments to the methodology for evaluating </w:t>
      </w:r>
      <w:r w:rsidR="00587DD4" w:rsidRPr="001662B3">
        <w:rPr>
          <w:color w:val="000000"/>
        </w:rPr>
        <w:t xml:space="preserve">the </w:t>
      </w:r>
      <w:r w:rsidR="00CC035D" w:rsidRPr="001662B3">
        <w:rPr>
          <w:color w:val="000000"/>
        </w:rPr>
        <w:t>centres</w:t>
      </w:r>
      <w:r w:rsidR="008F7E64" w:rsidRPr="001662B3">
        <w:rPr>
          <w:color w:val="000000"/>
        </w:rPr>
        <w:t>.</w:t>
      </w:r>
      <w:r w:rsidR="00E24AEB" w:rsidRPr="001662B3">
        <w:rPr>
          <w:rStyle w:val="FootnoteReference"/>
        </w:rPr>
        <w:footnoteReference w:id="5"/>
      </w:r>
      <w:r w:rsidR="00CC035D" w:rsidRPr="001662B3">
        <w:t xml:space="preserve"> </w:t>
      </w:r>
      <w:r w:rsidR="00E3559D" w:rsidRPr="001662B3">
        <w:t>As at 13 July 2016</w:t>
      </w:r>
      <w:r w:rsidR="00E24AEB" w:rsidRPr="001662B3">
        <w:t>, the</w:t>
      </w:r>
      <w:r w:rsidR="00E3559D" w:rsidRPr="001662B3">
        <w:t xml:space="preserve"> </w:t>
      </w:r>
      <w:r w:rsidR="00E67EA3" w:rsidRPr="001662B3">
        <w:t xml:space="preserve">Secretariat </w:t>
      </w:r>
      <w:r w:rsidR="00AC020C" w:rsidRPr="001662B3">
        <w:t xml:space="preserve">had </w:t>
      </w:r>
      <w:r w:rsidR="00E67EA3" w:rsidRPr="001662B3">
        <w:t xml:space="preserve">received </w:t>
      </w:r>
      <w:r w:rsidR="004C40DD" w:rsidRPr="001662B3">
        <w:t xml:space="preserve">views </w:t>
      </w:r>
      <w:r w:rsidR="00171024" w:rsidRPr="001662B3">
        <w:t>from</w:t>
      </w:r>
      <w:r w:rsidR="00E67EA3" w:rsidRPr="001662B3">
        <w:t xml:space="preserve"> the </w:t>
      </w:r>
      <w:r w:rsidR="00CE5851" w:rsidRPr="001662B3">
        <w:t>Governments of</w:t>
      </w:r>
      <w:r w:rsidR="00E3559D" w:rsidRPr="001662B3">
        <w:t xml:space="preserve"> Colombia, </w:t>
      </w:r>
      <w:r w:rsidR="00CE5851" w:rsidRPr="001662B3">
        <w:t xml:space="preserve">Costa Rica, </w:t>
      </w:r>
      <w:r w:rsidR="00E3559D" w:rsidRPr="001662B3">
        <w:t xml:space="preserve">Mauritius, </w:t>
      </w:r>
      <w:r w:rsidR="005C5ACF" w:rsidRPr="001662B3">
        <w:t xml:space="preserve">and </w:t>
      </w:r>
      <w:r w:rsidR="00E3559D" w:rsidRPr="001662B3">
        <w:t>Serbia</w:t>
      </w:r>
      <w:r w:rsidR="00E67EA3" w:rsidRPr="001662B3">
        <w:t xml:space="preserve">, </w:t>
      </w:r>
      <w:r w:rsidR="005C5ACF" w:rsidRPr="001662B3">
        <w:t xml:space="preserve">and </w:t>
      </w:r>
      <w:r w:rsidR="005C3FBA" w:rsidRPr="001662B3">
        <w:t xml:space="preserve">from </w:t>
      </w:r>
      <w:r w:rsidR="00743744" w:rsidRPr="001662B3">
        <w:t>the European Union</w:t>
      </w:r>
      <w:r w:rsidR="00171024" w:rsidRPr="001662B3">
        <w:t xml:space="preserve"> and its member States</w:t>
      </w:r>
      <w:r w:rsidR="00E67EA3" w:rsidRPr="001662B3">
        <w:t xml:space="preserve">, </w:t>
      </w:r>
      <w:r w:rsidR="00CE5851" w:rsidRPr="001662B3">
        <w:t xml:space="preserve">as well as from the </w:t>
      </w:r>
      <w:r w:rsidR="00E3559D" w:rsidRPr="001662B3">
        <w:t>S</w:t>
      </w:r>
      <w:r w:rsidR="005C5B2E" w:rsidRPr="001662B3">
        <w:t xml:space="preserve">tockholm </w:t>
      </w:r>
      <w:r w:rsidR="00E3559D" w:rsidRPr="001662B3">
        <w:t>C</w:t>
      </w:r>
      <w:r w:rsidR="005C5B2E" w:rsidRPr="001662B3">
        <w:t xml:space="preserve">onvention </w:t>
      </w:r>
      <w:r w:rsidR="00E70CB6" w:rsidRPr="001662B3">
        <w:t>r</w:t>
      </w:r>
      <w:r w:rsidR="005C5B2E" w:rsidRPr="001662B3">
        <w:t xml:space="preserve">egional </w:t>
      </w:r>
      <w:r w:rsidR="00E70CB6" w:rsidRPr="001662B3">
        <w:t>c</w:t>
      </w:r>
      <w:r w:rsidR="005C5B2E" w:rsidRPr="001662B3">
        <w:t>entre</w:t>
      </w:r>
      <w:r w:rsidR="00CE5851" w:rsidRPr="001662B3">
        <w:t>s</w:t>
      </w:r>
      <w:r w:rsidR="005C5B2E" w:rsidRPr="001662B3">
        <w:t xml:space="preserve"> in</w:t>
      </w:r>
      <w:r w:rsidR="00E3559D" w:rsidRPr="001662B3">
        <w:t xml:space="preserve"> Brazil and </w:t>
      </w:r>
      <w:r w:rsidR="00CE5851" w:rsidRPr="001662B3">
        <w:t>Spain</w:t>
      </w:r>
      <w:r w:rsidR="00E3559D" w:rsidRPr="001662B3">
        <w:t>.</w:t>
      </w:r>
      <w:r w:rsidR="00DA6700" w:rsidRPr="001662B3">
        <w:rPr>
          <w:rStyle w:val="FootnoteReference"/>
        </w:rPr>
        <w:footnoteReference w:id="6"/>
      </w:r>
    </w:p>
    <w:p w:rsidR="00437987" w:rsidRPr="001662B3" w:rsidRDefault="004C3E08" w:rsidP="00756C86">
      <w:pPr>
        <w:pStyle w:val="Normalnumber"/>
        <w:numPr>
          <w:ilvl w:val="0"/>
          <w:numId w:val="6"/>
        </w:numPr>
        <w:tabs>
          <w:tab w:val="clear" w:pos="567"/>
          <w:tab w:val="num" w:pos="624"/>
        </w:tabs>
      </w:pPr>
      <w:r w:rsidRPr="001662B3">
        <w:t xml:space="preserve">Taking into </w:t>
      </w:r>
      <w:r w:rsidR="008E6F81" w:rsidRPr="001662B3">
        <w:t>account the</w:t>
      </w:r>
      <w:r w:rsidR="00735639" w:rsidRPr="001662B3">
        <w:t xml:space="preserve"> </w:t>
      </w:r>
      <w:r w:rsidRPr="001662B3">
        <w:t xml:space="preserve">views </w:t>
      </w:r>
      <w:r w:rsidR="00735639" w:rsidRPr="001662B3">
        <w:t xml:space="preserve">received and based on the experience </w:t>
      </w:r>
      <w:r w:rsidR="009D4487" w:rsidRPr="001662B3">
        <w:t xml:space="preserve">gained from </w:t>
      </w:r>
      <w:r w:rsidR="00735639" w:rsidRPr="001662B3">
        <w:t>the</w:t>
      </w:r>
      <w:r w:rsidR="009D4487" w:rsidRPr="001662B3">
        <w:t xml:space="preserve"> previous two </w:t>
      </w:r>
      <w:r w:rsidR="00735639" w:rsidRPr="001662B3">
        <w:t>evaluation</w:t>
      </w:r>
      <w:r w:rsidR="00587DD4" w:rsidRPr="001662B3">
        <w:t>s, undertaken in</w:t>
      </w:r>
      <w:r w:rsidR="00735639" w:rsidRPr="001662B3">
        <w:t xml:space="preserve"> 2013 and 2015, the Secretariat </w:t>
      </w:r>
      <w:r w:rsidR="004E1EA1" w:rsidRPr="001662B3">
        <w:t xml:space="preserve">recommends that at this time no adjustments to the methodology for </w:t>
      </w:r>
      <w:r w:rsidR="004D6957" w:rsidRPr="001662B3">
        <w:t xml:space="preserve">evaluating </w:t>
      </w:r>
      <w:r w:rsidR="004E1EA1" w:rsidRPr="001662B3">
        <w:t>regional centres are needed</w:t>
      </w:r>
      <w:r w:rsidR="00555925" w:rsidRPr="001662B3">
        <w:t xml:space="preserve"> because</w:t>
      </w:r>
      <w:r w:rsidR="004E1EA1" w:rsidRPr="001662B3">
        <w:t xml:space="preserve"> </w:t>
      </w:r>
      <w:r w:rsidRPr="001662B3">
        <w:t xml:space="preserve">the methodology </w:t>
      </w:r>
      <w:r w:rsidR="00555925" w:rsidRPr="001662B3">
        <w:t>in its current form strikes</w:t>
      </w:r>
      <w:r w:rsidR="00F45C8F" w:rsidRPr="001662B3">
        <w:t xml:space="preserve"> </w:t>
      </w:r>
      <w:r w:rsidRPr="001662B3">
        <w:t xml:space="preserve">an acceptable balance between </w:t>
      </w:r>
      <w:r w:rsidR="0011667D" w:rsidRPr="001662B3">
        <w:t xml:space="preserve">the </w:t>
      </w:r>
      <w:r w:rsidR="008C50DE" w:rsidRPr="001662B3">
        <w:t xml:space="preserve">accuracy of </w:t>
      </w:r>
      <w:r w:rsidR="00A964BC" w:rsidRPr="001662B3">
        <w:t xml:space="preserve">the </w:t>
      </w:r>
      <w:r w:rsidR="0011667D" w:rsidRPr="001662B3">
        <w:t>evaluation results obtained and the</w:t>
      </w:r>
      <w:r w:rsidR="008C50DE" w:rsidRPr="001662B3">
        <w:t xml:space="preserve"> resources </w:t>
      </w:r>
      <w:r w:rsidR="00A964BC" w:rsidRPr="001662B3">
        <w:t>expended</w:t>
      </w:r>
      <w:r w:rsidR="008C50DE" w:rsidRPr="001662B3">
        <w:t xml:space="preserve"> to collect</w:t>
      </w:r>
      <w:r w:rsidR="0011667D" w:rsidRPr="001662B3">
        <w:t xml:space="preserve"> </w:t>
      </w:r>
      <w:r w:rsidR="00A964BC" w:rsidRPr="001662B3">
        <w:t xml:space="preserve">the </w:t>
      </w:r>
      <w:r w:rsidR="0011667D" w:rsidRPr="001662B3">
        <w:t xml:space="preserve">information </w:t>
      </w:r>
      <w:r w:rsidR="00A964BC" w:rsidRPr="001662B3">
        <w:t xml:space="preserve">needed </w:t>
      </w:r>
      <w:r w:rsidR="0011667D" w:rsidRPr="001662B3">
        <w:t>to achieve those results.</w:t>
      </w:r>
    </w:p>
    <w:p w:rsidR="00A27B2E" w:rsidRPr="001662B3" w:rsidRDefault="00756C86" w:rsidP="00756C86">
      <w:pPr>
        <w:pStyle w:val="CH2"/>
        <w:rPr>
          <w:b w:val="0"/>
          <w:bCs/>
        </w:rPr>
      </w:pPr>
      <w:r w:rsidRPr="001662B3">
        <w:rPr>
          <w:bCs/>
        </w:rPr>
        <w:tab/>
        <w:t>C.</w:t>
      </w:r>
      <w:r w:rsidRPr="001662B3">
        <w:rPr>
          <w:bCs/>
        </w:rPr>
        <w:tab/>
      </w:r>
      <w:r w:rsidR="003F3A47" w:rsidRPr="001662B3">
        <w:rPr>
          <w:bCs/>
        </w:rPr>
        <w:t>A</w:t>
      </w:r>
      <w:r w:rsidR="00B22A2D" w:rsidRPr="001662B3">
        <w:rPr>
          <w:bCs/>
        </w:rPr>
        <w:t>ctivities to facilitate the work of the Basel and Stockholm Convention regional centres</w:t>
      </w:r>
      <w:r w:rsidR="00935390" w:rsidRPr="001662B3">
        <w:rPr>
          <w:rStyle w:val="FootnoteReference"/>
          <w:bCs/>
          <w:sz w:val="24"/>
          <w:szCs w:val="24"/>
        </w:rPr>
        <w:footnoteReference w:id="7"/>
      </w:r>
    </w:p>
    <w:p w:rsidR="00A27B2E" w:rsidRPr="001662B3" w:rsidRDefault="00570CAA" w:rsidP="00756C86">
      <w:pPr>
        <w:pStyle w:val="CH3"/>
        <w:rPr>
          <w:sz w:val="20"/>
        </w:rPr>
      </w:pPr>
      <w:r w:rsidRPr="001662B3">
        <w:rPr>
          <w:sz w:val="20"/>
        </w:rPr>
        <w:tab/>
      </w:r>
      <w:r w:rsidR="00B22A2D" w:rsidRPr="001662B3">
        <w:rPr>
          <w:sz w:val="20"/>
        </w:rPr>
        <w:t>1.</w:t>
      </w:r>
      <w:r w:rsidR="00B22A2D" w:rsidRPr="001662B3">
        <w:rPr>
          <w:sz w:val="20"/>
        </w:rPr>
        <w:tab/>
        <w:t>Online and other meetings</w:t>
      </w:r>
    </w:p>
    <w:p w:rsidR="00A27B2E" w:rsidRPr="001662B3" w:rsidRDefault="00935390" w:rsidP="00756C86">
      <w:pPr>
        <w:pStyle w:val="Normalnumber"/>
        <w:numPr>
          <w:ilvl w:val="0"/>
          <w:numId w:val="6"/>
        </w:numPr>
        <w:tabs>
          <w:tab w:val="clear" w:pos="567"/>
          <w:tab w:val="num" w:pos="624"/>
        </w:tabs>
      </w:pPr>
      <w:r w:rsidRPr="001662B3">
        <w:t xml:space="preserve">Between </w:t>
      </w:r>
      <w:r w:rsidR="002E4032" w:rsidRPr="001662B3">
        <w:t>January</w:t>
      </w:r>
      <w:r w:rsidRPr="001662B3">
        <w:t xml:space="preserve"> 201</w:t>
      </w:r>
      <w:r w:rsidR="002E4032" w:rsidRPr="001662B3">
        <w:t>5</w:t>
      </w:r>
      <w:r w:rsidRPr="001662B3">
        <w:t xml:space="preserve"> and December 201</w:t>
      </w:r>
      <w:r w:rsidR="002E4032" w:rsidRPr="001662B3">
        <w:t>6</w:t>
      </w:r>
      <w:r w:rsidRPr="001662B3">
        <w:t xml:space="preserve">, the Secretariat organized a total of </w:t>
      </w:r>
      <w:r w:rsidR="00B572F5" w:rsidRPr="001662B3">
        <w:t>23</w:t>
      </w:r>
      <w:r w:rsidRPr="001662B3">
        <w:t xml:space="preserve"> online meetings </w:t>
      </w:r>
      <w:r w:rsidR="00F15372" w:rsidRPr="001662B3">
        <w:t>and</w:t>
      </w:r>
      <w:r w:rsidR="00F96869" w:rsidRPr="001662B3">
        <w:t xml:space="preserve"> webinars </w:t>
      </w:r>
      <w:r w:rsidR="00585BD3" w:rsidRPr="001662B3">
        <w:t xml:space="preserve">to support the work </w:t>
      </w:r>
      <w:r w:rsidR="00FC7A95" w:rsidRPr="001662B3">
        <w:t>of the regional centres</w:t>
      </w:r>
      <w:r w:rsidR="00F15372" w:rsidRPr="001662B3">
        <w:t xml:space="preserve">. Their </w:t>
      </w:r>
      <w:r w:rsidR="00570CAA" w:rsidRPr="001662B3">
        <w:t xml:space="preserve">objectives </w:t>
      </w:r>
      <w:r w:rsidR="00F15372" w:rsidRPr="001662B3">
        <w:t xml:space="preserve">were to </w:t>
      </w:r>
      <w:r w:rsidR="00B62E7D" w:rsidRPr="001662B3">
        <w:t>prepar</w:t>
      </w:r>
      <w:r w:rsidR="00F15372" w:rsidRPr="001662B3">
        <w:t>e</w:t>
      </w:r>
      <w:r w:rsidR="00B62E7D" w:rsidRPr="001662B3">
        <w:t xml:space="preserve"> for</w:t>
      </w:r>
      <w:r w:rsidRPr="001662B3">
        <w:t xml:space="preserve"> the </w:t>
      </w:r>
      <w:r w:rsidR="00F15372" w:rsidRPr="001662B3">
        <w:t xml:space="preserve">2017 meetings of the </w:t>
      </w:r>
      <w:r w:rsidRPr="001662B3">
        <w:t xml:space="preserve">conferences of the </w:t>
      </w:r>
      <w:r w:rsidR="00E70CB6" w:rsidRPr="001662B3">
        <w:t>P</w:t>
      </w:r>
      <w:r w:rsidRPr="001662B3">
        <w:t>arties to the Basel and Stockholm conventions</w:t>
      </w:r>
      <w:r w:rsidR="00F1371A" w:rsidRPr="001662B3">
        <w:t>;</w:t>
      </w:r>
      <w:r w:rsidR="00570CAA" w:rsidRPr="001662B3">
        <w:t xml:space="preserve"> </w:t>
      </w:r>
      <w:r w:rsidR="00A42448" w:rsidRPr="001662B3">
        <w:t xml:space="preserve">to </w:t>
      </w:r>
      <w:r w:rsidRPr="001662B3">
        <w:t>prepa</w:t>
      </w:r>
      <w:r w:rsidR="00A353C7" w:rsidRPr="001662B3">
        <w:t>r</w:t>
      </w:r>
      <w:r w:rsidR="00A42448" w:rsidRPr="001662B3">
        <w:t>e</w:t>
      </w:r>
      <w:r w:rsidR="00570CAA" w:rsidRPr="001662B3">
        <w:t xml:space="preserve"> </w:t>
      </w:r>
      <w:r w:rsidRPr="001662B3">
        <w:t>the joint meeting</w:t>
      </w:r>
      <w:r w:rsidR="00F1371A" w:rsidRPr="001662B3">
        <w:t>s</w:t>
      </w:r>
      <w:r w:rsidRPr="001662B3">
        <w:t xml:space="preserve"> of regional centres</w:t>
      </w:r>
      <w:r w:rsidR="00F57CA7" w:rsidRPr="001662B3">
        <w:t xml:space="preserve"> </w:t>
      </w:r>
      <w:r w:rsidRPr="001662B3">
        <w:t xml:space="preserve">in </w:t>
      </w:r>
      <w:r w:rsidR="00F1371A" w:rsidRPr="001662B3">
        <w:t xml:space="preserve">2015 and </w:t>
      </w:r>
      <w:r w:rsidRPr="001662B3">
        <w:t>201</w:t>
      </w:r>
      <w:r w:rsidR="00A353C7" w:rsidRPr="001662B3">
        <w:t>6</w:t>
      </w:r>
      <w:r w:rsidR="00F1371A" w:rsidRPr="001662B3">
        <w:t>;</w:t>
      </w:r>
      <w:r w:rsidR="00570CAA" w:rsidRPr="001662B3">
        <w:t xml:space="preserve"> </w:t>
      </w:r>
      <w:r w:rsidR="00A42448" w:rsidRPr="001662B3">
        <w:t>to</w:t>
      </w:r>
      <w:r w:rsidR="00570CAA" w:rsidRPr="001662B3">
        <w:t xml:space="preserve"> explor</w:t>
      </w:r>
      <w:r w:rsidR="00A42448" w:rsidRPr="001662B3">
        <w:t>e</w:t>
      </w:r>
      <w:r w:rsidR="00570CAA" w:rsidRPr="001662B3">
        <w:t xml:space="preserve"> possibilities </w:t>
      </w:r>
      <w:r w:rsidR="00585BD3" w:rsidRPr="001662B3">
        <w:t>for advancing</w:t>
      </w:r>
      <w:r w:rsidR="00570CAA" w:rsidRPr="001662B3">
        <w:t xml:space="preserve"> the </w:t>
      </w:r>
      <w:r w:rsidR="00A42448" w:rsidRPr="001662B3">
        <w:t>United Nations Industrial Development Organization-United Nations Environment Programme</w:t>
      </w:r>
      <w:r w:rsidR="0011667D" w:rsidRPr="001662B3">
        <w:t xml:space="preserve"> (</w:t>
      </w:r>
      <w:r w:rsidR="00570CAA" w:rsidRPr="001662B3">
        <w:t>UNEP</w:t>
      </w:r>
      <w:r w:rsidR="00A42448" w:rsidRPr="001662B3">
        <w:t>)</w:t>
      </w:r>
      <w:r w:rsidR="00F303B7" w:rsidRPr="001662B3">
        <w:t xml:space="preserve"> Global Network for Resource Efficient and Cleaner Production</w:t>
      </w:r>
      <w:r w:rsidR="00570CAA" w:rsidRPr="001662B3">
        <w:t xml:space="preserve">; </w:t>
      </w:r>
      <w:r w:rsidR="00A13A25" w:rsidRPr="001662B3">
        <w:t xml:space="preserve">and </w:t>
      </w:r>
      <w:r w:rsidR="00A42448" w:rsidRPr="001662B3">
        <w:t xml:space="preserve">to </w:t>
      </w:r>
      <w:r w:rsidR="00D80813" w:rsidRPr="001662B3">
        <w:t xml:space="preserve">identify synergistic activities </w:t>
      </w:r>
      <w:r w:rsidR="00570CAA" w:rsidRPr="001662B3">
        <w:t xml:space="preserve">with </w:t>
      </w:r>
      <w:r w:rsidR="00F1371A" w:rsidRPr="001662B3">
        <w:t xml:space="preserve">the </w:t>
      </w:r>
      <w:r w:rsidR="00A42448" w:rsidRPr="001662B3">
        <w:t xml:space="preserve">chemicals and waste </w:t>
      </w:r>
      <w:r w:rsidR="006B60DD" w:rsidRPr="001662B3">
        <w:t xml:space="preserve">subprogramme coordinators </w:t>
      </w:r>
      <w:r w:rsidR="005151FE" w:rsidRPr="001662B3">
        <w:t>located in UNEP</w:t>
      </w:r>
      <w:r w:rsidR="00CE0EFC" w:rsidRPr="001662B3">
        <w:t xml:space="preserve"> </w:t>
      </w:r>
      <w:r w:rsidR="006B60DD" w:rsidRPr="001662B3">
        <w:t>regional offices</w:t>
      </w:r>
      <w:r w:rsidR="00570CAA" w:rsidRPr="001662B3">
        <w:t xml:space="preserve">. The Secretariat also provided support to </w:t>
      </w:r>
      <w:r w:rsidR="00F45C8F" w:rsidRPr="001662B3">
        <w:t>four of the</w:t>
      </w:r>
      <w:r w:rsidR="003B5932" w:rsidRPr="001662B3">
        <w:t xml:space="preserve"> regional centres </w:t>
      </w:r>
      <w:r w:rsidR="00966E77" w:rsidRPr="001662B3">
        <w:t xml:space="preserve">in the </w:t>
      </w:r>
      <w:r w:rsidR="003B5932" w:rsidRPr="001662B3">
        <w:t xml:space="preserve">use </w:t>
      </w:r>
      <w:r w:rsidR="00966E77" w:rsidRPr="001662B3">
        <w:t xml:space="preserve">of </w:t>
      </w:r>
      <w:r w:rsidR="00F303B7" w:rsidRPr="001662B3">
        <w:t xml:space="preserve">a </w:t>
      </w:r>
      <w:r w:rsidR="003B5932" w:rsidRPr="001662B3">
        <w:t xml:space="preserve">webinar platform for </w:t>
      </w:r>
      <w:r w:rsidR="00FC7A95" w:rsidRPr="001662B3">
        <w:t xml:space="preserve">the implementation of </w:t>
      </w:r>
      <w:r w:rsidR="00A13A25" w:rsidRPr="001662B3">
        <w:t xml:space="preserve">certain </w:t>
      </w:r>
      <w:r w:rsidR="003B5932" w:rsidRPr="001662B3">
        <w:t>activities.</w:t>
      </w:r>
      <w:r w:rsidR="00F1371A" w:rsidRPr="001662B3">
        <w:t xml:space="preserve"> </w:t>
      </w:r>
      <w:r w:rsidR="00845187" w:rsidRPr="001662B3">
        <w:t xml:space="preserve">Further information on </w:t>
      </w:r>
      <w:r w:rsidR="00CB740F" w:rsidRPr="001662B3">
        <w:t xml:space="preserve">activities carried out by regional centres is </w:t>
      </w:r>
      <w:r w:rsidR="003D40D2" w:rsidRPr="001662B3">
        <w:t xml:space="preserve">provided </w:t>
      </w:r>
      <w:r w:rsidR="00845187" w:rsidRPr="001662B3">
        <w:t xml:space="preserve">in </w:t>
      </w:r>
      <w:r w:rsidR="003D40D2" w:rsidRPr="001662B3">
        <w:t xml:space="preserve">document </w:t>
      </w:r>
      <w:r w:rsidR="0011667D" w:rsidRPr="001662B3">
        <w:t>UNEP/CHW.13/INF/29</w:t>
      </w:r>
      <w:r w:rsidR="00BE5FD6" w:rsidRPr="001662B3">
        <w:t>/Rev.1</w:t>
      </w:r>
      <w:r w:rsidR="0011667D" w:rsidRPr="001662B3">
        <w:t>-UNEP/POPS/COP.8/INF/26</w:t>
      </w:r>
      <w:r w:rsidR="00BE5FD6" w:rsidRPr="001662B3">
        <w:t>/Rev.1</w:t>
      </w:r>
      <w:r w:rsidR="00D80813" w:rsidRPr="001662B3">
        <w:t xml:space="preserve">. </w:t>
      </w:r>
    </w:p>
    <w:p w:rsidR="00935390" w:rsidRPr="001662B3" w:rsidRDefault="00935390" w:rsidP="00756C86">
      <w:pPr>
        <w:pStyle w:val="Normalnumber"/>
        <w:numPr>
          <w:ilvl w:val="0"/>
          <w:numId w:val="6"/>
        </w:numPr>
        <w:tabs>
          <w:tab w:val="clear" w:pos="567"/>
          <w:tab w:val="num" w:pos="624"/>
        </w:tabs>
      </w:pPr>
      <w:r w:rsidRPr="001662B3">
        <w:t>T</w:t>
      </w:r>
      <w:r w:rsidR="006E37C6" w:rsidRPr="001662B3">
        <w:t>wo</w:t>
      </w:r>
      <w:r w:rsidRPr="001662B3">
        <w:t xml:space="preserve"> annual joint meetings of the directors of the regional centres </w:t>
      </w:r>
      <w:r w:rsidR="00A13A25" w:rsidRPr="001662B3">
        <w:t xml:space="preserve">of </w:t>
      </w:r>
      <w:r w:rsidRPr="001662B3">
        <w:t>the Basel and Stockholm conventions were held in Geneva</w:t>
      </w:r>
      <w:r w:rsidR="00A31852" w:rsidRPr="001662B3">
        <w:t>, one</w:t>
      </w:r>
      <w:r w:rsidRPr="001662B3" w:rsidDel="00010037">
        <w:t xml:space="preserve"> </w:t>
      </w:r>
      <w:r w:rsidRPr="001662B3">
        <w:t xml:space="preserve">from </w:t>
      </w:r>
      <w:r w:rsidR="00D639E8" w:rsidRPr="001662B3">
        <w:t>5</w:t>
      </w:r>
      <w:r w:rsidRPr="001662B3">
        <w:t xml:space="preserve"> to </w:t>
      </w:r>
      <w:r w:rsidR="00367AF1" w:rsidRPr="001662B3">
        <w:t>8</w:t>
      </w:r>
      <w:r w:rsidRPr="001662B3">
        <w:t xml:space="preserve"> </w:t>
      </w:r>
      <w:r w:rsidR="004D6957" w:rsidRPr="001662B3">
        <w:t xml:space="preserve">October </w:t>
      </w:r>
      <w:r w:rsidRPr="001662B3">
        <w:t>201</w:t>
      </w:r>
      <w:r w:rsidR="00367AF1" w:rsidRPr="001662B3">
        <w:t>5</w:t>
      </w:r>
      <w:r w:rsidRPr="001662B3">
        <w:t xml:space="preserve"> and </w:t>
      </w:r>
      <w:r w:rsidR="00A31852" w:rsidRPr="001662B3">
        <w:t xml:space="preserve">one </w:t>
      </w:r>
      <w:r w:rsidR="00B572F5" w:rsidRPr="001662B3">
        <w:t xml:space="preserve">from </w:t>
      </w:r>
      <w:r w:rsidR="00367AF1" w:rsidRPr="001662B3">
        <w:t>31</w:t>
      </w:r>
      <w:r w:rsidR="00B572F5" w:rsidRPr="001662B3">
        <w:t xml:space="preserve"> </w:t>
      </w:r>
      <w:r w:rsidR="00367AF1" w:rsidRPr="001662B3">
        <w:t>October to 2</w:t>
      </w:r>
      <w:r w:rsidR="00756C86" w:rsidRPr="001662B3">
        <w:t> </w:t>
      </w:r>
      <w:r w:rsidRPr="001662B3">
        <w:t>November 201</w:t>
      </w:r>
      <w:r w:rsidR="00367AF1" w:rsidRPr="001662B3">
        <w:t>6</w:t>
      </w:r>
      <w:r w:rsidR="00BB6F27" w:rsidRPr="001662B3">
        <w:t xml:space="preserve">, </w:t>
      </w:r>
      <w:r w:rsidRPr="001662B3">
        <w:t xml:space="preserve">with the objective of enhancing the performance of regional centres and fostering cooperation and collaboration among them. </w:t>
      </w:r>
      <w:r w:rsidR="0029434D" w:rsidRPr="001662B3">
        <w:t>R</w:t>
      </w:r>
      <w:r w:rsidRPr="001662B3">
        <w:t xml:space="preserve">eports of </w:t>
      </w:r>
      <w:r w:rsidR="0029434D" w:rsidRPr="001662B3">
        <w:t>both</w:t>
      </w:r>
      <w:r w:rsidRPr="001662B3">
        <w:t xml:space="preserve"> meetings are available on the Stockholm Convention website.</w:t>
      </w:r>
      <w:r w:rsidRPr="001662B3">
        <w:rPr>
          <w:rStyle w:val="FootnoteReference"/>
        </w:rPr>
        <w:footnoteReference w:id="8"/>
      </w:r>
      <w:r w:rsidRPr="001662B3">
        <w:t xml:space="preserve"> </w:t>
      </w:r>
    </w:p>
    <w:p w:rsidR="00F51DEF" w:rsidRPr="001662B3" w:rsidRDefault="00845187" w:rsidP="00756C86">
      <w:pPr>
        <w:pStyle w:val="Normalnumber"/>
        <w:numPr>
          <w:ilvl w:val="0"/>
          <w:numId w:val="6"/>
        </w:numPr>
        <w:tabs>
          <w:tab w:val="clear" w:pos="567"/>
          <w:tab w:val="num" w:pos="624"/>
        </w:tabs>
      </w:pPr>
      <w:r w:rsidRPr="001662B3">
        <w:t>O</w:t>
      </w:r>
      <w:r w:rsidR="00F07184" w:rsidRPr="001662B3">
        <w:t>n 10 December 2015</w:t>
      </w:r>
      <w:r w:rsidRPr="001662B3">
        <w:t>, the Secretariat organized</w:t>
      </w:r>
      <w:r w:rsidR="00F07184" w:rsidRPr="001662B3">
        <w:t xml:space="preserve"> </w:t>
      </w:r>
      <w:r w:rsidR="00F51DEF" w:rsidRPr="001662B3">
        <w:t xml:space="preserve">a meeting of the representatives </w:t>
      </w:r>
      <w:r w:rsidR="00A608DD" w:rsidRPr="001662B3">
        <w:t xml:space="preserve">of </w:t>
      </w:r>
      <w:r w:rsidR="00F51DEF" w:rsidRPr="001662B3">
        <w:t xml:space="preserve">the </w:t>
      </w:r>
      <w:r w:rsidR="00A608DD" w:rsidRPr="001662B3">
        <w:t>p</w:t>
      </w:r>
      <w:r w:rsidR="00F51DEF" w:rsidRPr="001662B3">
        <w:t xml:space="preserve">ermanent </w:t>
      </w:r>
      <w:r w:rsidR="00A608DD" w:rsidRPr="001662B3">
        <w:t>m</w:t>
      </w:r>
      <w:r w:rsidR="00F51DEF" w:rsidRPr="001662B3">
        <w:t>ission</w:t>
      </w:r>
      <w:r w:rsidR="001208B5" w:rsidRPr="001662B3">
        <w:t>s</w:t>
      </w:r>
      <w:r w:rsidR="00F51DEF" w:rsidRPr="001662B3">
        <w:t xml:space="preserve"> in Geneva of the countries that host Basel and Stockholm Convention </w:t>
      </w:r>
      <w:r w:rsidR="00A608DD" w:rsidRPr="001662B3">
        <w:t>r</w:t>
      </w:r>
      <w:r w:rsidR="00F51DEF" w:rsidRPr="001662B3">
        <w:t xml:space="preserve">egional </w:t>
      </w:r>
      <w:r w:rsidR="00A608DD" w:rsidRPr="001662B3">
        <w:t>c</w:t>
      </w:r>
      <w:r w:rsidR="00F51DEF" w:rsidRPr="001662B3">
        <w:t>entres to discuss</w:t>
      </w:r>
      <w:r w:rsidR="00F07184" w:rsidRPr="001662B3">
        <w:t>,</w:t>
      </w:r>
      <w:r w:rsidR="00F34867" w:rsidRPr="001662B3">
        <w:t xml:space="preserve"> among other</w:t>
      </w:r>
      <w:r w:rsidR="00AD0AB0" w:rsidRPr="001662B3">
        <w:t xml:space="preserve"> things</w:t>
      </w:r>
      <w:r w:rsidR="00F07184" w:rsidRPr="001662B3">
        <w:t>,</w:t>
      </w:r>
      <w:r w:rsidR="00F51DEF" w:rsidRPr="001662B3">
        <w:t xml:space="preserve"> ways to </w:t>
      </w:r>
      <w:r w:rsidR="00A608DD" w:rsidRPr="001662B3">
        <w:t>facilitate</w:t>
      </w:r>
      <w:r w:rsidR="00F34867" w:rsidRPr="001662B3">
        <w:t xml:space="preserve"> the </w:t>
      </w:r>
      <w:r w:rsidR="00F51DEF" w:rsidRPr="001662B3">
        <w:t xml:space="preserve">activities </w:t>
      </w:r>
      <w:r w:rsidR="00F34867" w:rsidRPr="001662B3">
        <w:t>of th</w:t>
      </w:r>
      <w:r w:rsidR="00A608DD" w:rsidRPr="001662B3">
        <w:t>o</w:t>
      </w:r>
      <w:r w:rsidR="00F34867" w:rsidRPr="001662B3">
        <w:t xml:space="preserve">se centres </w:t>
      </w:r>
      <w:r w:rsidR="00F51DEF" w:rsidRPr="001662B3">
        <w:t xml:space="preserve">and to enhance </w:t>
      </w:r>
      <w:r w:rsidR="00F51DEF" w:rsidRPr="001662B3">
        <w:lastRenderedPageBreak/>
        <w:t>their national and regional visibility.</w:t>
      </w:r>
      <w:r w:rsidRPr="001662B3">
        <w:t xml:space="preserve"> </w:t>
      </w:r>
      <w:r w:rsidR="00A608DD" w:rsidRPr="001662B3">
        <w:t>One</w:t>
      </w:r>
      <w:r w:rsidR="00DF0C51" w:rsidRPr="001662B3">
        <w:t xml:space="preserve"> </w:t>
      </w:r>
      <w:r w:rsidR="00141203" w:rsidRPr="001662B3">
        <w:t>outcome of the meeting</w:t>
      </w:r>
      <w:r w:rsidR="00DF0C51" w:rsidRPr="001662B3">
        <w:t xml:space="preserve"> </w:t>
      </w:r>
      <w:r w:rsidR="00141203" w:rsidRPr="001662B3">
        <w:t>was agree</w:t>
      </w:r>
      <w:r w:rsidR="00A608DD" w:rsidRPr="001662B3">
        <w:t>ment</w:t>
      </w:r>
      <w:r w:rsidR="00141203" w:rsidRPr="001662B3">
        <w:t xml:space="preserve"> that representatives </w:t>
      </w:r>
      <w:r w:rsidR="00A608DD" w:rsidRPr="001662B3">
        <w:t>of</w:t>
      </w:r>
      <w:r w:rsidR="00141203" w:rsidRPr="001662B3">
        <w:t xml:space="preserve"> the </w:t>
      </w:r>
      <w:r w:rsidR="00A608DD" w:rsidRPr="001662B3">
        <w:t>p</w:t>
      </w:r>
      <w:r w:rsidR="00141203" w:rsidRPr="001662B3">
        <w:t xml:space="preserve">ermanent </w:t>
      </w:r>
      <w:r w:rsidR="00A608DD" w:rsidRPr="001662B3">
        <w:t>m</w:t>
      </w:r>
      <w:r w:rsidR="00141203" w:rsidRPr="001662B3">
        <w:t xml:space="preserve">issions would be invited </w:t>
      </w:r>
      <w:r w:rsidR="00A608DD" w:rsidRPr="001662B3">
        <w:t xml:space="preserve">to participate </w:t>
      </w:r>
      <w:r w:rsidR="00141203" w:rsidRPr="001662B3">
        <w:t>as observers in the annual</w:t>
      </w:r>
      <w:r w:rsidR="00A134FC" w:rsidRPr="001662B3">
        <w:t xml:space="preserve"> meetings of regional centres.</w:t>
      </w:r>
    </w:p>
    <w:p w:rsidR="00106532" w:rsidRPr="001662B3" w:rsidRDefault="00106532" w:rsidP="00756C86">
      <w:pPr>
        <w:pStyle w:val="Normalnumber"/>
        <w:numPr>
          <w:ilvl w:val="0"/>
          <w:numId w:val="6"/>
        </w:numPr>
        <w:tabs>
          <w:tab w:val="clear" w:pos="567"/>
          <w:tab w:val="num" w:pos="624"/>
        </w:tabs>
      </w:pPr>
      <w:r w:rsidRPr="001662B3">
        <w:t xml:space="preserve">The Secretariat </w:t>
      </w:r>
      <w:r w:rsidR="00711543" w:rsidRPr="001662B3">
        <w:t xml:space="preserve">has </w:t>
      </w:r>
      <w:r w:rsidRPr="001662B3">
        <w:t xml:space="preserve">continued to carry out technical assistance activities through regional centres, thanks to generous financial support </w:t>
      </w:r>
      <w:r w:rsidR="00395CE0" w:rsidRPr="001662B3">
        <w:t>provided by</w:t>
      </w:r>
      <w:r w:rsidRPr="001662B3">
        <w:t xml:space="preserve"> the </w:t>
      </w:r>
      <w:r w:rsidR="00E35E38" w:rsidRPr="001662B3">
        <w:t>European Union</w:t>
      </w:r>
      <w:r w:rsidR="00395CE0" w:rsidRPr="001662B3">
        <w:t xml:space="preserve"> and the</w:t>
      </w:r>
      <w:r w:rsidR="00E35E38" w:rsidRPr="001662B3">
        <w:t xml:space="preserve"> </w:t>
      </w:r>
      <w:r w:rsidRPr="001662B3">
        <w:t>Government</w:t>
      </w:r>
      <w:r w:rsidR="00E35E38" w:rsidRPr="001662B3">
        <w:t>s</w:t>
      </w:r>
      <w:r w:rsidRPr="001662B3">
        <w:t xml:space="preserve"> of </w:t>
      </w:r>
      <w:r w:rsidR="008D40C1" w:rsidRPr="001662B3">
        <w:t>Germany, Norway</w:t>
      </w:r>
      <w:r w:rsidRPr="001662B3">
        <w:t xml:space="preserve"> </w:t>
      </w:r>
      <w:r w:rsidR="00E35E38" w:rsidRPr="001662B3">
        <w:t xml:space="preserve">and </w:t>
      </w:r>
      <w:r w:rsidR="008D40C1" w:rsidRPr="001662B3">
        <w:t xml:space="preserve">Switzerland </w:t>
      </w:r>
      <w:r w:rsidRPr="001662B3">
        <w:t xml:space="preserve">in 2015 and 2016. </w:t>
      </w:r>
      <w:r w:rsidR="00395CE0" w:rsidRPr="001662B3">
        <w:t>A</w:t>
      </w:r>
      <w:r w:rsidRPr="001662B3">
        <w:t xml:space="preserve"> report on capacity</w:t>
      </w:r>
      <w:r w:rsidR="00395CE0" w:rsidRPr="001662B3">
        <w:t>-</w:t>
      </w:r>
      <w:r w:rsidRPr="001662B3">
        <w:t xml:space="preserve">building and training activities undertaken </w:t>
      </w:r>
      <w:r w:rsidR="00336DD5" w:rsidRPr="001662B3">
        <w:t xml:space="preserve">and planned </w:t>
      </w:r>
      <w:r w:rsidRPr="001662B3">
        <w:t xml:space="preserve">by the Secretariat is set out in </w:t>
      </w:r>
      <w:r w:rsidR="00393E69" w:rsidRPr="001662B3">
        <w:t xml:space="preserve">document </w:t>
      </w:r>
      <w:r w:rsidR="0011667D" w:rsidRPr="001662B3">
        <w:t>UNEP/CHW.13/INF/34</w:t>
      </w:r>
      <w:r w:rsidR="00BF61F3" w:rsidRPr="001662B3">
        <w:t>-</w:t>
      </w:r>
      <w:r w:rsidR="0011667D" w:rsidRPr="001662B3">
        <w:t>UNEP/FAO/RC/COP.8/INF/24-UNEP/POPS/COP.8/INF/22</w:t>
      </w:r>
      <w:r w:rsidRPr="001662B3">
        <w:t>.</w:t>
      </w:r>
    </w:p>
    <w:p w:rsidR="00F303B7" w:rsidRPr="001662B3" w:rsidRDefault="00AA51F6" w:rsidP="00756C86">
      <w:pPr>
        <w:pStyle w:val="Normalnumber"/>
        <w:numPr>
          <w:ilvl w:val="0"/>
          <w:numId w:val="6"/>
        </w:numPr>
        <w:tabs>
          <w:tab w:val="clear" w:pos="567"/>
          <w:tab w:val="num" w:pos="624"/>
        </w:tabs>
      </w:pPr>
      <w:r w:rsidRPr="001662B3">
        <w:t>T</w:t>
      </w:r>
      <w:r w:rsidR="00F303B7" w:rsidRPr="001662B3">
        <w:t>he report on the review of the synergies arrangements</w:t>
      </w:r>
      <w:r w:rsidRPr="001662B3">
        <w:t xml:space="preserve"> </w:t>
      </w:r>
      <w:r w:rsidR="0011764A" w:rsidRPr="001662B3">
        <w:t>(</w:t>
      </w:r>
      <w:r w:rsidR="0011764A" w:rsidRPr="001662B3">
        <w:rPr>
          <w:szCs w:val="18"/>
        </w:rPr>
        <w:t>UNEP/CHW.13/INF/43-UNEP/FAO/RC/COP.</w:t>
      </w:r>
      <w:r w:rsidR="00BE3DED" w:rsidRPr="001662B3">
        <w:rPr>
          <w:szCs w:val="18"/>
        </w:rPr>
        <w:t>8/INF/29-UNEP/POPS/COP.8/INF/46</w:t>
      </w:r>
      <w:r w:rsidR="0011764A" w:rsidRPr="001662B3">
        <w:rPr>
          <w:szCs w:val="18"/>
        </w:rPr>
        <w:t xml:space="preserve">) </w:t>
      </w:r>
      <w:r w:rsidRPr="001662B3">
        <w:t>presents</w:t>
      </w:r>
      <w:r w:rsidR="00F303B7" w:rsidRPr="001662B3">
        <w:t xml:space="preserve"> a number of findings relevant to regional centres</w:t>
      </w:r>
      <w:r w:rsidRPr="001662B3">
        <w:t>,</w:t>
      </w:r>
      <w:r w:rsidR="00F303B7" w:rsidRPr="001662B3">
        <w:t xml:space="preserve"> technical assistance and capacity-building. Among other things, </w:t>
      </w:r>
      <w:r w:rsidRPr="001662B3">
        <w:t xml:space="preserve">the report recommends that </w:t>
      </w:r>
      <w:r w:rsidR="007F330F" w:rsidRPr="001662B3">
        <w:t xml:space="preserve">the Secretariat work with each regional centre to produce </w:t>
      </w:r>
      <w:r w:rsidRPr="001662B3">
        <w:t xml:space="preserve">a </w:t>
      </w:r>
      <w:r w:rsidR="007F330F" w:rsidRPr="001662B3">
        <w:t>gap analys</w:t>
      </w:r>
      <w:r w:rsidRPr="001662B3">
        <w:t>i</w:t>
      </w:r>
      <w:r w:rsidR="007F330F" w:rsidRPr="001662B3">
        <w:t xml:space="preserve">s and action plan to ensure that </w:t>
      </w:r>
      <w:r w:rsidRPr="001662B3">
        <w:t xml:space="preserve">the </w:t>
      </w:r>
      <w:r w:rsidR="007F330F" w:rsidRPr="001662B3">
        <w:t>centre</w:t>
      </w:r>
      <w:r w:rsidRPr="001662B3">
        <w:t xml:space="preserve"> is</w:t>
      </w:r>
      <w:r w:rsidR="007F330F" w:rsidRPr="001662B3">
        <w:t xml:space="preserve"> </w:t>
      </w:r>
      <w:r w:rsidR="00DA26F7" w:rsidRPr="001662B3">
        <w:t>“</w:t>
      </w:r>
      <w:r w:rsidR="007F330F" w:rsidRPr="001662B3">
        <w:t>appropriately resourced and skilled</w:t>
      </w:r>
      <w:r w:rsidR="00DA26F7" w:rsidRPr="001662B3">
        <w:t>”</w:t>
      </w:r>
      <w:r w:rsidR="007F330F" w:rsidRPr="001662B3">
        <w:t xml:space="preserve"> to fulfil </w:t>
      </w:r>
      <w:r w:rsidRPr="001662B3">
        <w:t xml:space="preserve">its </w:t>
      </w:r>
      <w:r w:rsidR="007F330F" w:rsidRPr="001662B3">
        <w:t xml:space="preserve">role in the delivery of technical assistance. The Secretariat </w:t>
      </w:r>
      <w:r w:rsidR="0011667D" w:rsidRPr="001662B3">
        <w:t>w</w:t>
      </w:r>
      <w:r w:rsidR="00F84C17" w:rsidRPr="001662B3">
        <w:t xml:space="preserve">ill </w:t>
      </w:r>
      <w:r w:rsidR="007F330F" w:rsidRPr="001662B3">
        <w:t xml:space="preserve">take </w:t>
      </w:r>
      <w:r w:rsidR="00DF0C51" w:rsidRPr="001662B3">
        <w:t xml:space="preserve">this recommendation </w:t>
      </w:r>
      <w:r w:rsidR="007F330F" w:rsidRPr="001662B3">
        <w:t xml:space="preserve">into </w:t>
      </w:r>
      <w:r w:rsidR="00DF0C51" w:rsidRPr="001662B3">
        <w:t>account</w:t>
      </w:r>
      <w:r w:rsidR="009D0E42" w:rsidRPr="001662B3">
        <w:t>, subject to availability of resources,</w:t>
      </w:r>
      <w:r w:rsidR="00DF0C51" w:rsidRPr="001662B3">
        <w:t xml:space="preserve"> </w:t>
      </w:r>
      <w:r w:rsidR="007F330F" w:rsidRPr="001662B3">
        <w:t>when undertaking activities to facilitate the work of the centres.</w:t>
      </w:r>
      <w:r w:rsidR="00F303B7" w:rsidRPr="001662B3">
        <w:t xml:space="preserve"> </w:t>
      </w:r>
    </w:p>
    <w:p w:rsidR="00A27B2E" w:rsidRPr="001662B3" w:rsidRDefault="00DF5B3E" w:rsidP="00756C86">
      <w:pPr>
        <w:pStyle w:val="CH3"/>
        <w:rPr>
          <w:sz w:val="20"/>
        </w:rPr>
      </w:pPr>
      <w:r w:rsidRPr="001662B3">
        <w:rPr>
          <w:sz w:val="20"/>
        </w:rPr>
        <w:tab/>
        <w:t>2.</w:t>
      </w:r>
      <w:r w:rsidRPr="001662B3">
        <w:rPr>
          <w:sz w:val="20"/>
        </w:rPr>
        <w:tab/>
      </w:r>
      <w:r w:rsidR="00D72A8B" w:rsidRPr="001662B3">
        <w:rPr>
          <w:sz w:val="20"/>
        </w:rPr>
        <w:t>Selection of regional centres</w:t>
      </w:r>
    </w:p>
    <w:p w:rsidR="00872529" w:rsidRPr="001662B3" w:rsidRDefault="004A0B77" w:rsidP="00756C86">
      <w:pPr>
        <w:pStyle w:val="Normalnumber"/>
        <w:numPr>
          <w:ilvl w:val="0"/>
          <w:numId w:val="6"/>
        </w:numPr>
        <w:tabs>
          <w:tab w:val="clear" w:pos="567"/>
          <w:tab w:val="num" w:pos="624"/>
        </w:tabs>
      </w:pPr>
      <w:r w:rsidRPr="001662B3">
        <w:t xml:space="preserve">The </w:t>
      </w:r>
      <w:r w:rsidR="00C033A5" w:rsidRPr="001662B3">
        <w:t>a</w:t>
      </w:r>
      <w:r w:rsidRPr="001662B3">
        <w:t xml:space="preserve">utonomous </w:t>
      </w:r>
      <w:r w:rsidR="00C033A5" w:rsidRPr="001662B3">
        <w:t>n</w:t>
      </w:r>
      <w:r w:rsidRPr="001662B3">
        <w:t>on</w:t>
      </w:r>
      <w:r w:rsidR="00B01AF3" w:rsidRPr="001662B3">
        <w:t>-</w:t>
      </w:r>
      <w:r w:rsidR="00C033A5" w:rsidRPr="001662B3">
        <w:t>p</w:t>
      </w:r>
      <w:r w:rsidRPr="001662B3">
        <w:t xml:space="preserve">rofit </w:t>
      </w:r>
      <w:r w:rsidR="00C033A5" w:rsidRPr="001662B3">
        <w:t>o</w:t>
      </w:r>
      <w:r w:rsidRPr="001662B3">
        <w:t>rganization Centre for International Projects (ANO-CIP), serving</w:t>
      </w:r>
      <w:r w:rsidR="00DB1098" w:rsidRPr="001662B3">
        <w:t xml:space="preserve"> </w:t>
      </w:r>
      <w:r w:rsidRPr="001662B3">
        <w:t xml:space="preserve">as </w:t>
      </w:r>
      <w:r w:rsidR="00C033A5" w:rsidRPr="001662B3">
        <w:t xml:space="preserve">the </w:t>
      </w:r>
      <w:r w:rsidR="0011667D" w:rsidRPr="001662B3">
        <w:rPr>
          <w:i/>
        </w:rPr>
        <w:t>de facto</w:t>
      </w:r>
      <w:r w:rsidR="00C033A5" w:rsidRPr="001662B3">
        <w:t xml:space="preserve"> </w:t>
      </w:r>
      <w:r w:rsidRPr="001662B3">
        <w:t xml:space="preserve">Basel Convention Regional Centre for </w:t>
      </w:r>
      <w:r w:rsidR="00872529" w:rsidRPr="001662B3">
        <w:t xml:space="preserve">the </w:t>
      </w:r>
      <w:r w:rsidRPr="001662B3">
        <w:t>C</w:t>
      </w:r>
      <w:r w:rsidR="00872529" w:rsidRPr="001662B3">
        <w:t xml:space="preserve">ommonwealth of Independent </w:t>
      </w:r>
      <w:r w:rsidRPr="001662B3">
        <w:t>S</w:t>
      </w:r>
      <w:r w:rsidR="00872529" w:rsidRPr="001662B3">
        <w:t xml:space="preserve">tates </w:t>
      </w:r>
      <w:r w:rsidRPr="001662B3">
        <w:t>in the Russian Federation</w:t>
      </w:r>
      <w:r w:rsidR="00E65AD1" w:rsidRPr="001662B3">
        <w:t xml:space="preserve"> since 1996</w:t>
      </w:r>
      <w:r w:rsidRPr="001662B3">
        <w:t xml:space="preserve">, was nominated in 2008 by the Central and Eastern European region to serve as </w:t>
      </w:r>
      <w:r w:rsidR="00C033A5" w:rsidRPr="001662B3">
        <w:t xml:space="preserve">a </w:t>
      </w:r>
      <w:r w:rsidRPr="001662B3">
        <w:t xml:space="preserve">Stockholm </w:t>
      </w:r>
      <w:r w:rsidR="00B01AF3" w:rsidRPr="001662B3">
        <w:t xml:space="preserve">Convention </w:t>
      </w:r>
      <w:r w:rsidR="00C033A5" w:rsidRPr="001662B3">
        <w:t>r</w:t>
      </w:r>
      <w:r w:rsidR="009946EC" w:rsidRPr="001662B3">
        <w:t xml:space="preserve">egional </w:t>
      </w:r>
      <w:r w:rsidR="00C033A5" w:rsidRPr="001662B3">
        <w:t>c</w:t>
      </w:r>
      <w:r w:rsidR="009946EC" w:rsidRPr="001662B3">
        <w:t>entre</w:t>
      </w:r>
      <w:r w:rsidRPr="001662B3">
        <w:t xml:space="preserve"> and was endorsed as such in 2011 by the Conference of the Parties </w:t>
      </w:r>
      <w:r w:rsidR="00C033A5" w:rsidRPr="001662B3">
        <w:t xml:space="preserve">at its fifth meeting, </w:t>
      </w:r>
      <w:r w:rsidRPr="001662B3">
        <w:t>in its decision SC-5/21.</w:t>
      </w:r>
    </w:p>
    <w:p w:rsidR="002A62AA" w:rsidRPr="001662B3" w:rsidRDefault="00872529" w:rsidP="00756C86">
      <w:pPr>
        <w:pStyle w:val="Normalnumber"/>
        <w:numPr>
          <w:ilvl w:val="0"/>
          <w:numId w:val="6"/>
        </w:numPr>
        <w:tabs>
          <w:tab w:val="clear" w:pos="567"/>
          <w:tab w:val="num" w:pos="624"/>
        </w:tabs>
      </w:pPr>
      <w:r w:rsidRPr="001662B3">
        <w:t xml:space="preserve">In a </w:t>
      </w:r>
      <w:r w:rsidR="008E1C39" w:rsidRPr="001662B3">
        <w:t>n</w:t>
      </w:r>
      <w:r w:rsidRPr="001662B3">
        <w:t xml:space="preserve">ote </w:t>
      </w:r>
      <w:r w:rsidR="008E1C39" w:rsidRPr="001662B3">
        <w:t>v</w:t>
      </w:r>
      <w:r w:rsidRPr="001662B3">
        <w:t>erbale dated 9 June 2015, the Permanent Mission of the Russian Federation in Geneva informed the Secretariat that the Ministry of Natural Resources and Environment had assigned the Russian State Scientific Research Institution “VNII Ekologia” to</w:t>
      </w:r>
      <w:r w:rsidR="008E1C39" w:rsidRPr="001662B3">
        <w:t xml:space="preserve"> perform</w:t>
      </w:r>
      <w:r w:rsidRPr="001662B3">
        <w:t xml:space="preserve"> the functions of the Basel Convention Regional Centre</w:t>
      </w:r>
      <w:r w:rsidR="00DB1098" w:rsidRPr="001662B3">
        <w:t xml:space="preserve"> in </w:t>
      </w:r>
      <w:r w:rsidR="00342C90" w:rsidRPr="001662B3">
        <w:t>lieu</w:t>
      </w:r>
      <w:r w:rsidR="00DB1098" w:rsidRPr="001662B3">
        <w:t xml:space="preserve"> of </w:t>
      </w:r>
      <w:r w:rsidR="00AD64A7" w:rsidRPr="001662B3">
        <w:t>ANO-CIP</w:t>
      </w:r>
      <w:r w:rsidRPr="001662B3">
        <w:t xml:space="preserve">. In a subsequent </w:t>
      </w:r>
      <w:r w:rsidR="00B569FE" w:rsidRPr="001662B3">
        <w:t>n</w:t>
      </w:r>
      <w:r w:rsidRPr="001662B3">
        <w:t xml:space="preserve">ote </w:t>
      </w:r>
      <w:r w:rsidR="00B569FE" w:rsidRPr="001662B3">
        <w:t>v</w:t>
      </w:r>
      <w:r w:rsidRPr="001662B3">
        <w:t>erbale dated 16</w:t>
      </w:r>
      <w:r w:rsidR="00AB2C28" w:rsidRPr="001662B3">
        <w:t> </w:t>
      </w:r>
      <w:r w:rsidRPr="001662B3">
        <w:t>March</w:t>
      </w:r>
      <w:r w:rsidR="00AB2C28" w:rsidRPr="001662B3">
        <w:t> </w:t>
      </w:r>
      <w:r w:rsidRPr="001662B3">
        <w:t xml:space="preserve">2016, the Permanent Mission provided the Secretariat with a feasibility study concerning the capacity of “VNII Ekologia” to serve as a Basel Convention </w:t>
      </w:r>
      <w:r w:rsidR="00127B0A" w:rsidRPr="001662B3">
        <w:t>r</w:t>
      </w:r>
      <w:r w:rsidRPr="001662B3">
        <w:t xml:space="preserve">egional </w:t>
      </w:r>
      <w:r w:rsidR="00127B0A" w:rsidRPr="001662B3">
        <w:t>c</w:t>
      </w:r>
      <w:r w:rsidRPr="001662B3">
        <w:t xml:space="preserve">entre for the </w:t>
      </w:r>
      <w:r w:rsidR="00AD64A7" w:rsidRPr="001662B3">
        <w:t>Commonwealth of Independent States</w:t>
      </w:r>
      <w:r w:rsidR="002A62AA" w:rsidRPr="001662B3">
        <w:t>.</w:t>
      </w:r>
    </w:p>
    <w:p w:rsidR="00872529" w:rsidRPr="001662B3" w:rsidRDefault="002A62AA" w:rsidP="00756C86">
      <w:pPr>
        <w:pStyle w:val="Normalnumber"/>
        <w:numPr>
          <w:ilvl w:val="0"/>
          <w:numId w:val="6"/>
        </w:numPr>
        <w:tabs>
          <w:tab w:val="clear" w:pos="567"/>
          <w:tab w:val="num" w:pos="624"/>
        </w:tabs>
      </w:pPr>
      <w:r w:rsidRPr="001662B3">
        <w:t>Acknowledging receipt of th</w:t>
      </w:r>
      <w:r w:rsidR="00AD50D1" w:rsidRPr="001662B3">
        <w:t>at</w:t>
      </w:r>
      <w:r w:rsidRPr="001662B3">
        <w:t xml:space="preserve"> information, the Secretariat on 23 July 2015 </w:t>
      </w:r>
      <w:r w:rsidR="00B02634" w:rsidRPr="001662B3">
        <w:t>sought clarification as to whether this development was intended to have any consequences with re</w:t>
      </w:r>
      <w:r w:rsidR="00AD50D1" w:rsidRPr="001662B3">
        <w:t>gard</w:t>
      </w:r>
      <w:r w:rsidR="00B02634" w:rsidRPr="001662B3">
        <w:t xml:space="preserve"> to the Stockholm </w:t>
      </w:r>
      <w:r w:rsidR="00B01AF3" w:rsidRPr="001662B3">
        <w:t xml:space="preserve">Convention </w:t>
      </w:r>
      <w:r w:rsidR="00B02634" w:rsidRPr="001662B3">
        <w:t xml:space="preserve">Regional Centre for </w:t>
      </w:r>
      <w:r w:rsidR="00AD50D1" w:rsidRPr="001662B3">
        <w:t xml:space="preserve">the </w:t>
      </w:r>
      <w:r w:rsidR="00B02634" w:rsidRPr="001662B3">
        <w:t xml:space="preserve">Central and Eastern European region and </w:t>
      </w:r>
      <w:r w:rsidRPr="001662B3">
        <w:t>reminded the Permanent Mission of the Russian Federation of the process for establishing a regional centre under the Basel Convention</w:t>
      </w:r>
      <w:r w:rsidR="00B02634" w:rsidRPr="001662B3">
        <w:t>.</w:t>
      </w:r>
      <w:r w:rsidRPr="001662B3">
        <w:t xml:space="preserve"> </w:t>
      </w:r>
      <w:r w:rsidR="00DE40DD" w:rsidRPr="001662B3">
        <w:t xml:space="preserve">In a further </w:t>
      </w:r>
      <w:r w:rsidR="00AD50D1" w:rsidRPr="001662B3">
        <w:t>n</w:t>
      </w:r>
      <w:r w:rsidR="00DE40DD" w:rsidRPr="001662B3">
        <w:t xml:space="preserve">ote </w:t>
      </w:r>
      <w:r w:rsidR="00AD50D1" w:rsidRPr="001662B3">
        <w:t>v</w:t>
      </w:r>
      <w:r w:rsidR="00DE40DD" w:rsidRPr="001662B3">
        <w:t xml:space="preserve">erbale dated </w:t>
      </w:r>
      <w:r w:rsidR="00F51DEF" w:rsidRPr="001662B3">
        <w:t xml:space="preserve">24 June 2016, </w:t>
      </w:r>
      <w:r w:rsidR="00F002C3" w:rsidRPr="001662B3">
        <w:t xml:space="preserve">the </w:t>
      </w:r>
      <w:r w:rsidR="00F51DEF" w:rsidRPr="001662B3">
        <w:t xml:space="preserve">Permanent Mission </w:t>
      </w:r>
      <w:r w:rsidR="00DE40DD" w:rsidRPr="001662B3">
        <w:t xml:space="preserve">informed the Secretariat that </w:t>
      </w:r>
      <w:r w:rsidR="00F51DEF" w:rsidRPr="001662B3">
        <w:t>the Ministry of Natural Resources</w:t>
      </w:r>
      <w:r w:rsidR="00F71002" w:rsidRPr="001662B3">
        <w:t xml:space="preserve"> </w:t>
      </w:r>
      <w:r w:rsidR="00DE40DD" w:rsidRPr="001662B3">
        <w:t xml:space="preserve">was </w:t>
      </w:r>
      <w:r w:rsidR="00F51DEF" w:rsidRPr="001662B3">
        <w:t xml:space="preserve">preparing a decree on establishing a national coordination centre for the implementation of </w:t>
      </w:r>
      <w:r w:rsidR="00B01AF3" w:rsidRPr="001662B3">
        <w:t xml:space="preserve">the </w:t>
      </w:r>
      <w:r w:rsidR="00F51DEF" w:rsidRPr="001662B3">
        <w:t>S</w:t>
      </w:r>
      <w:r w:rsidR="002D209F" w:rsidRPr="001662B3">
        <w:t xml:space="preserve">tockholm </w:t>
      </w:r>
      <w:r w:rsidR="00F51DEF" w:rsidRPr="001662B3">
        <w:t>C</w:t>
      </w:r>
      <w:r w:rsidR="002D209F" w:rsidRPr="001662B3">
        <w:t>onvention</w:t>
      </w:r>
      <w:r w:rsidR="00AD50D1" w:rsidRPr="001662B3">
        <w:t>,</w:t>
      </w:r>
      <w:r w:rsidR="009C35C8" w:rsidRPr="001662B3">
        <w:t xml:space="preserve"> which</w:t>
      </w:r>
      <w:r w:rsidR="00F51DEF" w:rsidRPr="001662B3">
        <w:t xml:space="preserve"> w</w:t>
      </w:r>
      <w:r w:rsidR="00B01AF3" w:rsidRPr="001662B3">
        <w:t>ould</w:t>
      </w:r>
      <w:r w:rsidR="00F51DEF" w:rsidRPr="001662B3">
        <w:t xml:space="preserve"> be presented </w:t>
      </w:r>
      <w:r w:rsidR="001B1B17" w:rsidRPr="001662B3">
        <w:t xml:space="preserve">to </w:t>
      </w:r>
      <w:r w:rsidR="008B6452" w:rsidRPr="001662B3">
        <w:t xml:space="preserve">the Conference of the Parties </w:t>
      </w:r>
      <w:r w:rsidR="001B1B17" w:rsidRPr="001662B3">
        <w:t>at its eighth meeting</w:t>
      </w:r>
      <w:r w:rsidR="008B6452" w:rsidRPr="001662B3">
        <w:t xml:space="preserve"> </w:t>
      </w:r>
      <w:r w:rsidR="001B1B17" w:rsidRPr="001662B3">
        <w:t xml:space="preserve">in support of </w:t>
      </w:r>
      <w:r w:rsidR="009D0E42" w:rsidRPr="001662B3">
        <w:t>its</w:t>
      </w:r>
      <w:r w:rsidR="001B1B17" w:rsidRPr="001662B3">
        <w:t xml:space="preserve"> </w:t>
      </w:r>
      <w:r w:rsidR="00845187" w:rsidRPr="001662B3">
        <w:t>nomination</w:t>
      </w:r>
      <w:r w:rsidR="00AD79F0" w:rsidRPr="001662B3">
        <w:t xml:space="preserve"> of an entity</w:t>
      </w:r>
      <w:r w:rsidR="00845187" w:rsidRPr="001662B3">
        <w:t xml:space="preserve"> to</w:t>
      </w:r>
      <w:r w:rsidR="00080D34" w:rsidRPr="001662B3">
        <w:t xml:space="preserve"> serve </w:t>
      </w:r>
      <w:r w:rsidR="00F51DEF" w:rsidRPr="001662B3">
        <w:t xml:space="preserve">as </w:t>
      </w:r>
      <w:r w:rsidR="001B1B17" w:rsidRPr="001662B3">
        <w:t xml:space="preserve">the </w:t>
      </w:r>
      <w:r w:rsidR="00F51DEF" w:rsidRPr="001662B3">
        <w:t>S</w:t>
      </w:r>
      <w:r w:rsidR="002D209F" w:rsidRPr="001662B3">
        <w:t xml:space="preserve">tockholm </w:t>
      </w:r>
      <w:r w:rsidR="00F51DEF" w:rsidRPr="001662B3">
        <w:t>C</w:t>
      </w:r>
      <w:r w:rsidR="002D209F" w:rsidRPr="001662B3">
        <w:t>onvention</w:t>
      </w:r>
      <w:r w:rsidR="001B1B17" w:rsidRPr="001662B3">
        <w:t xml:space="preserve"> r</w:t>
      </w:r>
      <w:r w:rsidR="002D209F" w:rsidRPr="001662B3">
        <w:t xml:space="preserve">egional </w:t>
      </w:r>
      <w:r w:rsidR="001B1B17" w:rsidRPr="001662B3">
        <w:t>c</w:t>
      </w:r>
      <w:r w:rsidR="002D209F" w:rsidRPr="001662B3">
        <w:t>entre</w:t>
      </w:r>
      <w:r w:rsidR="00F51DEF" w:rsidRPr="001662B3">
        <w:t xml:space="preserve"> for </w:t>
      </w:r>
      <w:r w:rsidR="001B1B17" w:rsidRPr="001662B3">
        <w:t xml:space="preserve">the </w:t>
      </w:r>
      <w:r w:rsidR="00F51DEF" w:rsidRPr="001662B3">
        <w:t>Central and Eastern Europe</w:t>
      </w:r>
      <w:r w:rsidR="001B1B17" w:rsidRPr="001662B3">
        <w:t>an</w:t>
      </w:r>
      <w:r w:rsidR="00F51DEF" w:rsidRPr="001662B3">
        <w:t xml:space="preserve"> </w:t>
      </w:r>
      <w:r w:rsidR="00B01AF3" w:rsidRPr="001662B3">
        <w:t>r</w:t>
      </w:r>
      <w:r w:rsidR="00F51DEF" w:rsidRPr="001662B3">
        <w:t>egion</w:t>
      </w:r>
      <w:r w:rsidR="008F7E64" w:rsidRPr="001662B3">
        <w:t>.</w:t>
      </w:r>
      <w:r w:rsidR="004A0B77" w:rsidRPr="001662B3">
        <w:rPr>
          <w:rStyle w:val="FootnoteReference"/>
        </w:rPr>
        <w:footnoteReference w:id="9"/>
      </w:r>
      <w:r w:rsidR="00F51DEF" w:rsidRPr="001662B3">
        <w:t xml:space="preserve"> </w:t>
      </w:r>
    </w:p>
    <w:p w:rsidR="000705B3" w:rsidRPr="001662B3" w:rsidRDefault="00634F8F" w:rsidP="00756C86">
      <w:pPr>
        <w:pStyle w:val="Normalnumber"/>
        <w:numPr>
          <w:ilvl w:val="0"/>
          <w:numId w:val="6"/>
        </w:numPr>
        <w:tabs>
          <w:tab w:val="clear" w:pos="567"/>
          <w:tab w:val="num" w:pos="624"/>
        </w:tabs>
      </w:pPr>
      <w:r w:rsidRPr="001662B3">
        <w:t>The Secretariat informed the bureau</w:t>
      </w:r>
      <w:r w:rsidR="009B7632" w:rsidRPr="001662B3">
        <w:t>x</w:t>
      </w:r>
      <w:r w:rsidRPr="001662B3">
        <w:t xml:space="preserve"> of both </w:t>
      </w:r>
      <w:r w:rsidR="00F002C3" w:rsidRPr="001662B3">
        <w:t xml:space="preserve">the </w:t>
      </w:r>
      <w:r w:rsidRPr="001662B3">
        <w:t>Basel and</w:t>
      </w:r>
      <w:r w:rsidR="00F002C3" w:rsidRPr="001662B3">
        <w:t xml:space="preserve"> the</w:t>
      </w:r>
      <w:r w:rsidRPr="001662B3">
        <w:t xml:space="preserve"> Stockholm </w:t>
      </w:r>
      <w:r w:rsidR="00B01AF3" w:rsidRPr="001662B3">
        <w:t>c</w:t>
      </w:r>
      <w:r w:rsidRPr="001662B3">
        <w:t>onvention</w:t>
      </w:r>
      <w:r w:rsidR="00B01AF3" w:rsidRPr="001662B3">
        <w:t>s</w:t>
      </w:r>
      <w:r w:rsidRPr="001662B3">
        <w:t xml:space="preserve"> o</w:t>
      </w:r>
      <w:r w:rsidR="008B6452" w:rsidRPr="001662B3">
        <w:t>f</w:t>
      </w:r>
      <w:r w:rsidRPr="001662B3">
        <w:t xml:space="preserve"> th</w:t>
      </w:r>
      <w:r w:rsidR="00872529" w:rsidRPr="001662B3">
        <w:t xml:space="preserve">ese </w:t>
      </w:r>
      <w:r w:rsidRPr="001662B3">
        <w:t>development</w:t>
      </w:r>
      <w:r w:rsidR="00872529" w:rsidRPr="001662B3">
        <w:t>s</w:t>
      </w:r>
      <w:r w:rsidR="00080D34" w:rsidRPr="001662B3">
        <w:t xml:space="preserve"> during their meetings on 11</w:t>
      </w:r>
      <w:r w:rsidR="00560464" w:rsidRPr="001662B3">
        <w:sym w:font="Symbol" w:char="F02D"/>
      </w:r>
      <w:r w:rsidR="00080D34" w:rsidRPr="001662B3">
        <w:t>12 July and 28</w:t>
      </w:r>
      <w:r w:rsidR="00560464" w:rsidRPr="001662B3">
        <w:sym w:font="Symbol" w:char="F02D"/>
      </w:r>
      <w:r w:rsidR="00080D34" w:rsidRPr="001662B3">
        <w:t>29 June 2016</w:t>
      </w:r>
      <w:r w:rsidR="00BC5F88" w:rsidRPr="001662B3">
        <w:t>, respectively</w:t>
      </w:r>
      <w:r w:rsidRPr="001662B3">
        <w:t xml:space="preserve">. </w:t>
      </w:r>
      <w:r w:rsidR="00080D34" w:rsidRPr="001662B3">
        <w:t>As at 15</w:t>
      </w:r>
      <w:r w:rsidR="00566E56" w:rsidRPr="001662B3">
        <w:t> </w:t>
      </w:r>
      <w:r w:rsidR="00080D34" w:rsidRPr="001662B3">
        <w:t xml:space="preserve">November 2016, no further information </w:t>
      </w:r>
      <w:r w:rsidR="00CE5235" w:rsidRPr="001662B3">
        <w:t>had been received from the Russian Federation.</w:t>
      </w:r>
    </w:p>
    <w:p w:rsidR="00A27B2E" w:rsidRPr="001662B3" w:rsidRDefault="00756C86" w:rsidP="00756C86">
      <w:pPr>
        <w:pStyle w:val="CH2"/>
        <w:rPr>
          <w:bCs/>
        </w:rPr>
      </w:pPr>
      <w:r w:rsidRPr="001662B3">
        <w:rPr>
          <w:bCs/>
        </w:rPr>
        <w:tab/>
        <w:t>D.</w:t>
      </w:r>
      <w:r w:rsidRPr="001662B3">
        <w:rPr>
          <w:bCs/>
        </w:rPr>
        <w:tab/>
      </w:r>
      <w:r w:rsidR="00434BD3" w:rsidRPr="001662B3">
        <w:rPr>
          <w:bCs/>
        </w:rPr>
        <w:t>M</w:t>
      </w:r>
      <w:r w:rsidR="00B22A2D" w:rsidRPr="001662B3">
        <w:rPr>
          <w:bCs/>
        </w:rPr>
        <w:t xml:space="preserve">ercury-related </w:t>
      </w:r>
      <w:r w:rsidR="00434BD3" w:rsidRPr="001662B3">
        <w:rPr>
          <w:bCs/>
        </w:rPr>
        <w:t>activities undertaken by the regional centres</w:t>
      </w:r>
    </w:p>
    <w:p w:rsidR="00A27B2E" w:rsidRPr="001662B3" w:rsidRDefault="00606BDF" w:rsidP="00756C86">
      <w:pPr>
        <w:pStyle w:val="Normalnumber"/>
        <w:numPr>
          <w:ilvl w:val="0"/>
          <w:numId w:val="6"/>
        </w:numPr>
        <w:tabs>
          <w:tab w:val="clear" w:pos="567"/>
          <w:tab w:val="num" w:pos="624"/>
        </w:tabs>
        <w:rPr>
          <w:bCs/>
        </w:rPr>
      </w:pPr>
      <w:r w:rsidRPr="001662B3">
        <w:t>T</w:t>
      </w:r>
      <w:r w:rsidR="00434BD3" w:rsidRPr="001662B3">
        <w:t xml:space="preserve">he Secretariat sent a letter to the regional centres </w:t>
      </w:r>
      <w:r w:rsidR="00A37295" w:rsidRPr="001662B3">
        <w:t xml:space="preserve">on 22 December 2015 </w:t>
      </w:r>
      <w:r w:rsidR="00434BD3" w:rsidRPr="001662B3">
        <w:t xml:space="preserve">inviting them to provide information on any mercury-related </w:t>
      </w:r>
      <w:r w:rsidR="00A37295" w:rsidRPr="001662B3">
        <w:t>activities</w:t>
      </w:r>
      <w:r w:rsidR="00A37295" w:rsidRPr="001662B3" w:rsidDel="00BA77CD">
        <w:t xml:space="preserve"> </w:t>
      </w:r>
      <w:r w:rsidR="00A37295" w:rsidRPr="001662B3">
        <w:t>undertaken by them</w:t>
      </w:r>
      <w:r w:rsidR="00434BD3" w:rsidRPr="001662B3">
        <w:t>. In response to that request, ten regional centres provided information</w:t>
      </w:r>
      <w:r w:rsidR="00A37295" w:rsidRPr="001662B3">
        <w:t xml:space="preserve">, which was subsequently </w:t>
      </w:r>
      <w:r w:rsidR="00434BD3" w:rsidRPr="001662B3">
        <w:t xml:space="preserve">forwarded to the interim </w:t>
      </w:r>
      <w:r w:rsidRPr="001662B3">
        <w:t>s</w:t>
      </w:r>
      <w:r w:rsidR="00434BD3" w:rsidRPr="001662B3">
        <w:t xml:space="preserve">ecretariat of </w:t>
      </w:r>
      <w:r w:rsidRPr="001662B3">
        <w:t xml:space="preserve">the </w:t>
      </w:r>
      <w:r w:rsidR="00434BD3" w:rsidRPr="001662B3">
        <w:t xml:space="preserve">Minamata Convention </w:t>
      </w:r>
      <w:r w:rsidR="00A37295" w:rsidRPr="001662B3">
        <w:t>and</w:t>
      </w:r>
      <w:r w:rsidR="00434BD3" w:rsidRPr="001662B3">
        <w:t xml:space="preserve"> made available </w:t>
      </w:r>
      <w:r w:rsidR="00C61CA1" w:rsidRPr="001662B3">
        <w:t xml:space="preserve">for </w:t>
      </w:r>
      <w:r w:rsidR="00434BD3" w:rsidRPr="001662B3">
        <w:t xml:space="preserve">the </w:t>
      </w:r>
      <w:r w:rsidR="00434BD3" w:rsidRPr="001662B3">
        <w:rPr>
          <w:color w:val="000000"/>
        </w:rPr>
        <w:t>seventh session of the intergovernmental negotiating committee on mercury</w:t>
      </w:r>
      <w:r w:rsidR="006E1F51" w:rsidRPr="001662B3">
        <w:rPr>
          <w:color w:val="000000"/>
        </w:rPr>
        <w:t>.</w:t>
      </w:r>
      <w:r w:rsidR="00A37295" w:rsidRPr="001662B3">
        <w:rPr>
          <w:rStyle w:val="FootnoteReference"/>
          <w:szCs w:val="20"/>
        </w:rPr>
        <w:footnoteReference w:id="10"/>
      </w:r>
    </w:p>
    <w:p w:rsidR="006E1F51" w:rsidRPr="001662B3" w:rsidRDefault="00756C86" w:rsidP="00756C86">
      <w:pPr>
        <w:pStyle w:val="CH2"/>
        <w:rPr>
          <w:bCs/>
        </w:rPr>
      </w:pPr>
      <w:r w:rsidRPr="001662B3">
        <w:rPr>
          <w:bCs/>
        </w:rPr>
        <w:tab/>
        <w:t>E.</w:t>
      </w:r>
      <w:r w:rsidRPr="001662B3">
        <w:rPr>
          <w:bCs/>
        </w:rPr>
        <w:tab/>
      </w:r>
      <w:r w:rsidR="006E1F51" w:rsidRPr="001662B3">
        <w:rPr>
          <w:bCs/>
        </w:rPr>
        <w:t xml:space="preserve">Effectiveness evaluation pertaining to </w:t>
      </w:r>
      <w:r w:rsidR="00B24B51" w:rsidRPr="001662B3">
        <w:rPr>
          <w:bCs/>
        </w:rPr>
        <w:t xml:space="preserve">the </w:t>
      </w:r>
      <w:r w:rsidR="00A13E77" w:rsidRPr="001662B3">
        <w:rPr>
          <w:bCs/>
        </w:rPr>
        <w:t xml:space="preserve">Stockholm Convention regional and subregional </w:t>
      </w:r>
      <w:r w:rsidR="006E1F51" w:rsidRPr="001662B3">
        <w:rPr>
          <w:bCs/>
        </w:rPr>
        <w:t>centres</w:t>
      </w:r>
    </w:p>
    <w:p w:rsidR="006E1F51" w:rsidRPr="001662B3" w:rsidRDefault="006E1F51" w:rsidP="00D93635">
      <w:pPr>
        <w:pStyle w:val="Normalnumber"/>
        <w:numPr>
          <w:ilvl w:val="0"/>
          <w:numId w:val="6"/>
        </w:numPr>
        <w:tabs>
          <w:tab w:val="left" w:pos="1247"/>
          <w:tab w:val="left" w:pos="1814"/>
          <w:tab w:val="left" w:pos="2381"/>
          <w:tab w:val="left" w:pos="2948"/>
          <w:tab w:val="left" w:pos="3515"/>
          <w:tab w:val="left" w:pos="4082"/>
        </w:tabs>
      </w:pPr>
      <w:r w:rsidRPr="001662B3">
        <w:rPr>
          <w:iCs/>
        </w:rPr>
        <w:t xml:space="preserve">The </w:t>
      </w:r>
      <w:r w:rsidRPr="001662B3">
        <w:t>main</w:t>
      </w:r>
      <w:r w:rsidRPr="001662B3">
        <w:rPr>
          <w:iCs/>
        </w:rPr>
        <w:t xml:space="preserve"> findings, conclusions and recommendations pertaining to regional centres may be found in paragraphs 136</w:t>
      </w:r>
      <w:r w:rsidR="00E45327" w:rsidRPr="001662B3">
        <w:rPr>
          <w:iCs/>
        </w:rPr>
        <w:t xml:space="preserve"> and </w:t>
      </w:r>
      <w:r w:rsidRPr="001662B3">
        <w:rPr>
          <w:iCs/>
        </w:rPr>
        <w:t>137 of the executive summary of the report on the effectiveness evaluation of the Convention.</w:t>
      </w:r>
      <w:r w:rsidRPr="001662B3">
        <w:rPr>
          <w:rStyle w:val="FootnoteReference"/>
          <w:iCs/>
        </w:rPr>
        <w:footnoteReference w:id="11"/>
      </w:r>
    </w:p>
    <w:p w:rsidR="00E939E7" w:rsidRPr="001662B3" w:rsidRDefault="00E939E7" w:rsidP="00E939E7">
      <w:pPr>
        <w:pStyle w:val="CH1"/>
      </w:pPr>
      <w:r w:rsidRPr="001662B3">
        <w:lastRenderedPageBreak/>
        <w:tab/>
        <w:t>III.</w:t>
      </w:r>
      <w:r w:rsidRPr="001662B3">
        <w:tab/>
        <w:t>Proposed action</w:t>
      </w:r>
    </w:p>
    <w:p w:rsidR="00E939E7" w:rsidRPr="001662B3" w:rsidRDefault="00E939E7" w:rsidP="00756C86">
      <w:pPr>
        <w:pStyle w:val="Normalnumber"/>
        <w:numPr>
          <w:ilvl w:val="0"/>
          <w:numId w:val="6"/>
        </w:numPr>
        <w:tabs>
          <w:tab w:val="clear" w:pos="567"/>
          <w:tab w:val="num" w:pos="624"/>
        </w:tabs>
      </w:pPr>
      <w:r w:rsidRPr="001662B3">
        <w:t>The Conference of the Parties may wish to adopt a decision along the following lines</w:t>
      </w:r>
      <w:r w:rsidR="00560464" w:rsidRPr="001662B3">
        <w:t>:</w:t>
      </w:r>
      <w:r w:rsidR="00C258CF" w:rsidRPr="001662B3">
        <w:rPr>
          <w:szCs w:val="18"/>
          <w:vertAlign w:val="superscript"/>
        </w:rPr>
        <w:footnoteReference w:id="12"/>
      </w:r>
    </w:p>
    <w:p w:rsidR="009D74AE" w:rsidRPr="001662B3" w:rsidRDefault="006D4DFB" w:rsidP="00756C86">
      <w:pPr>
        <w:tabs>
          <w:tab w:val="left" w:pos="624"/>
          <w:tab w:val="left" w:pos="6620"/>
        </w:tabs>
        <w:autoSpaceDE w:val="0"/>
        <w:autoSpaceDN w:val="0"/>
        <w:adjustRightInd w:val="0"/>
        <w:spacing w:after="120"/>
        <w:ind w:left="1871" w:firstLine="624"/>
        <w:rPr>
          <w:i/>
          <w:iCs/>
          <w:sz w:val="20"/>
        </w:rPr>
      </w:pPr>
      <w:r w:rsidRPr="001662B3">
        <w:rPr>
          <w:i/>
          <w:iCs/>
          <w:sz w:val="20"/>
        </w:rPr>
        <w:t>The Conference of the Parties</w:t>
      </w:r>
    </w:p>
    <w:p w:rsidR="006D4DFB" w:rsidRPr="001662B3" w:rsidRDefault="006D4DFB" w:rsidP="00756C86">
      <w:pPr>
        <w:pStyle w:val="Normal-pool"/>
        <w:numPr>
          <w:ilvl w:val="0"/>
          <w:numId w:val="7"/>
        </w:numPr>
        <w:tabs>
          <w:tab w:val="clear" w:pos="1247"/>
          <w:tab w:val="clear" w:pos="1814"/>
          <w:tab w:val="clear" w:pos="2381"/>
          <w:tab w:val="clear" w:pos="2654"/>
          <w:tab w:val="clear" w:pos="2948"/>
          <w:tab w:val="clear" w:pos="3515"/>
          <w:tab w:val="left" w:pos="624"/>
          <w:tab w:val="num" w:pos="3119"/>
        </w:tabs>
        <w:spacing w:after="120"/>
        <w:ind w:left="1871" w:firstLine="624"/>
      </w:pPr>
      <w:r w:rsidRPr="001662B3">
        <w:rPr>
          <w:i/>
        </w:rPr>
        <w:t>Takes note</w:t>
      </w:r>
      <w:r w:rsidRPr="001662B3">
        <w:t xml:space="preserve"> of:</w:t>
      </w:r>
    </w:p>
    <w:p w:rsidR="006D4DFB" w:rsidRPr="001662B3" w:rsidRDefault="006D4DFB" w:rsidP="00756C86">
      <w:pPr>
        <w:pStyle w:val="Normal-pool"/>
        <w:tabs>
          <w:tab w:val="clear" w:pos="1247"/>
          <w:tab w:val="clear" w:pos="1814"/>
          <w:tab w:val="clear" w:pos="2381"/>
          <w:tab w:val="clear" w:pos="2948"/>
          <w:tab w:val="clear" w:pos="3515"/>
          <w:tab w:val="left" w:pos="624"/>
        </w:tabs>
        <w:spacing w:after="120"/>
        <w:ind w:left="1871" w:firstLine="624"/>
        <w:rPr>
          <w:iCs/>
        </w:rPr>
      </w:pPr>
      <w:r w:rsidRPr="001662B3">
        <w:tab/>
        <w:t>(a)</w:t>
      </w:r>
      <w:r w:rsidRPr="001662B3">
        <w:tab/>
      </w:r>
      <w:r w:rsidRPr="001662B3">
        <w:rPr>
          <w:iCs/>
        </w:rPr>
        <w:t xml:space="preserve">The workplans for the </w:t>
      </w:r>
      <w:r w:rsidR="00F002C3" w:rsidRPr="001662B3">
        <w:rPr>
          <w:iCs/>
        </w:rPr>
        <w:t xml:space="preserve">period from January </w:t>
      </w:r>
      <w:r w:rsidRPr="001662B3">
        <w:rPr>
          <w:iCs/>
        </w:rPr>
        <w:t>201</w:t>
      </w:r>
      <w:r w:rsidR="00F34867" w:rsidRPr="001662B3">
        <w:rPr>
          <w:iCs/>
        </w:rPr>
        <w:t>6</w:t>
      </w:r>
      <w:r w:rsidR="00F002C3" w:rsidRPr="001662B3">
        <w:rPr>
          <w:iCs/>
        </w:rPr>
        <w:t xml:space="preserve"> to December </w:t>
      </w:r>
      <w:r w:rsidRPr="001662B3">
        <w:rPr>
          <w:iCs/>
        </w:rPr>
        <w:t>201</w:t>
      </w:r>
      <w:r w:rsidR="00F34867" w:rsidRPr="001662B3">
        <w:rPr>
          <w:iCs/>
        </w:rPr>
        <w:t>9</w:t>
      </w:r>
      <w:r w:rsidR="00BD650A" w:rsidRPr="001662B3">
        <w:rPr>
          <w:rStyle w:val="FootnoteReference"/>
          <w:iCs/>
        </w:rPr>
        <w:footnoteReference w:id="13"/>
      </w:r>
      <w:r w:rsidRPr="001662B3">
        <w:rPr>
          <w:iCs/>
        </w:rPr>
        <w:t xml:space="preserve"> and activity reports for the period</w:t>
      </w:r>
      <w:r w:rsidR="001A33DE" w:rsidRPr="001662B3">
        <w:rPr>
          <w:iCs/>
        </w:rPr>
        <w:t xml:space="preserve"> from January</w:t>
      </w:r>
      <w:r w:rsidRPr="001662B3">
        <w:rPr>
          <w:iCs/>
        </w:rPr>
        <w:t xml:space="preserve"> 201</w:t>
      </w:r>
      <w:r w:rsidR="002D209F" w:rsidRPr="001662B3">
        <w:rPr>
          <w:iCs/>
        </w:rPr>
        <w:t>5</w:t>
      </w:r>
      <w:r w:rsidR="001A33DE" w:rsidRPr="001662B3">
        <w:rPr>
          <w:iCs/>
        </w:rPr>
        <w:t xml:space="preserve"> to December </w:t>
      </w:r>
      <w:r w:rsidRPr="001662B3">
        <w:rPr>
          <w:iCs/>
        </w:rPr>
        <w:t>201</w:t>
      </w:r>
      <w:r w:rsidR="002D209F" w:rsidRPr="001662B3">
        <w:rPr>
          <w:iCs/>
        </w:rPr>
        <w:t>6</w:t>
      </w:r>
      <w:r w:rsidR="00BD650A" w:rsidRPr="001662B3">
        <w:rPr>
          <w:rStyle w:val="FootnoteReference"/>
          <w:iCs/>
        </w:rPr>
        <w:footnoteReference w:id="14"/>
      </w:r>
      <w:r w:rsidRPr="001662B3">
        <w:rPr>
          <w:iCs/>
        </w:rPr>
        <w:t xml:space="preserve"> submitted by the Stockholm </w:t>
      </w:r>
      <w:r w:rsidRPr="001662B3">
        <w:t>Convention</w:t>
      </w:r>
      <w:r w:rsidRPr="001662B3">
        <w:rPr>
          <w:iCs/>
        </w:rPr>
        <w:t xml:space="preserve"> regional and subregional centres;</w:t>
      </w:r>
    </w:p>
    <w:p w:rsidR="006D4DFB" w:rsidRPr="001662B3" w:rsidRDefault="006D4DFB" w:rsidP="00756C86">
      <w:pPr>
        <w:pStyle w:val="Normal-pool"/>
        <w:tabs>
          <w:tab w:val="clear" w:pos="1247"/>
          <w:tab w:val="clear" w:pos="1814"/>
          <w:tab w:val="clear" w:pos="2381"/>
          <w:tab w:val="clear" w:pos="2948"/>
          <w:tab w:val="clear" w:pos="3515"/>
          <w:tab w:val="left" w:pos="624"/>
        </w:tabs>
        <w:spacing w:after="120"/>
        <w:ind w:left="1871" w:firstLine="624"/>
        <w:rPr>
          <w:iCs/>
        </w:rPr>
      </w:pPr>
      <w:r w:rsidRPr="001662B3">
        <w:rPr>
          <w:iCs/>
        </w:rPr>
        <w:tab/>
        <w:t>(</w:t>
      </w:r>
      <w:r w:rsidR="009D74AE" w:rsidRPr="001662B3">
        <w:rPr>
          <w:iCs/>
        </w:rPr>
        <w:t>b</w:t>
      </w:r>
      <w:r w:rsidRPr="001662B3">
        <w:rPr>
          <w:iCs/>
        </w:rPr>
        <w:t>)</w:t>
      </w:r>
      <w:r w:rsidRPr="001662B3">
        <w:rPr>
          <w:iCs/>
        </w:rPr>
        <w:tab/>
      </w:r>
      <w:r w:rsidRPr="001662B3">
        <w:t>The report on the activities of the regional and subregional centres;</w:t>
      </w:r>
      <w:r w:rsidRPr="001662B3">
        <w:rPr>
          <w:rStyle w:val="FootnoteReference"/>
        </w:rPr>
        <w:footnoteReference w:id="15"/>
      </w:r>
    </w:p>
    <w:p w:rsidR="006D4DFB" w:rsidRPr="001662B3" w:rsidRDefault="006D4DFB" w:rsidP="00756C86">
      <w:pPr>
        <w:pStyle w:val="Normal-pool"/>
        <w:numPr>
          <w:ilvl w:val="0"/>
          <w:numId w:val="7"/>
        </w:numPr>
        <w:tabs>
          <w:tab w:val="clear" w:pos="1247"/>
          <w:tab w:val="clear" w:pos="1814"/>
          <w:tab w:val="clear" w:pos="2381"/>
          <w:tab w:val="clear" w:pos="2654"/>
          <w:tab w:val="clear" w:pos="2948"/>
          <w:tab w:val="clear" w:pos="3515"/>
          <w:tab w:val="left" w:pos="624"/>
          <w:tab w:val="num" w:pos="3119"/>
        </w:tabs>
        <w:spacing w:after="120"/>
        <w:ind w:left="1871" w:firstLine="624"/>
      </w:pPr>
      <w:r w:rsidRPr="001662B3">
        <w:rPr>
          <w:i/>
        </w:rPr>
        <w:t xml:space="preserve">Requests </w:t>
      </w:r>
      <w:r w:rsidRPr="001662B3">
        <w:t>the Stockholm Convention regional and subregional centres to submit to the Secretariat</w:t>
      </w:r>
      <w:r w:rsidR="004449A0" w:rsidRPr="001662B3">
        <w:t xml:space="preserve"> for consideration</w:t>
      </w:r>
      <w:bookmarkStart w:id="0" w:name="_GoBack"/>
      <w:bookmarkEnd w:id="0"/>
      <w:r w:rsidR="004449A0" w:rsidRPr="001662B3">
        <w:t xml:space="preserve"> by the Conference of the Parties at its ninth meeting</w:t>
      </w:r>
      <w:r w:rsidRPr="001662B3">
        <w:t>:</w:t>
      </w:r>
    </w:p>
    <w:p w:rsidR="006D4DFB" w:rsidRPr="001662B3" w:rsidRDefault="006D4DFB" w:rsidP="00756C86">
      <w:pPr>
        <w:pStyle w:val="Normal-pool"/>
        <w:tabs>
          <w:tab w:val="clear" w:pos="1247"/>
          <w:tab w:val="clear" w:pos="1814"/>
          <w:tab w:val="clear" w:pos="2381"/>
          <w:tab w:val="clear" w:pos="2948"/>
          <w:tab w:val="clear" w:pos="3515"/>
          <w:tab w:val="left" w:pos="624"/>
        </w:tabs>
        <w:spacing w:after="120"/>
        <w:ind w:left="1871" w:firstLine="624"/>
      </w:pPr>
      <w:r w:rsidRPr="001662B3">
        <w:tab/>
        <w:t>(a)</w:t>
      </w:r>
      <w:r w:rsidRPr="001662B3">
        <w:tab/>
        <w:t xml:space="preserve">Their workplans for the period </w:t>
      </w:r>
      <w:r w:rsidR="0053729A" w:rsidRPr="001662B3">
        <w:t xml:space="preserve">from </w:t>
      </w:r>
      <w:r w:rsidRPr="001662B3">
        <w:t>1 January 20</w:t>
      </w:r>
      <w:r w:rsidR="00F34867" w:rsidRPr="001662B3">
        <w:t>20</w:t>
      </w:r>
      <w:r w:rsidR="004449A0" w:rsidRPr="001662B3">
        <w:t xml:space="preserve"> to </w:t>
      </w:r>
      <w:r w:rsidRPr="001662B3">
        <w:t>31 December 20</w:t>
      </w:r>
      <w:r w:rsidR="00F34867" w:rsidRPr="001662B3">
        <w:t>23</w:t>
      </w:r>
      <w:r w:rsidRPr="001662B3">
        <w:t xml:space="preserve"> by 30 September 201</w:t>
      </w:r>
      <w:r w:rsidR="00F34867" w:rsidRPr="001662B3">
        <w:t>9</w:t>
      </w:r>
      <w:r w:rsidRPr="001662B3">
        <w:t>;</w:t>
      </w:r>
    </w:p>
    <w:p w:rsidR="006D4DFB" w:rsidRPr="001662B3" w:rsidRDefault="006D4DFB" w:rsidP="00756C86">
      <w:pPr>
        <w:pStyle w:val="Normal-pool"/>
        <w:tabs>
          <w:tab w:val="clear" w:pos="1247"/>
          <w:tab w:val="clear" w:pos="1814"/>
          <w:tab w:val="clear" w:pos="2381"/>
          <w:tab w:val="clear" w:pos="2948"/>
          <w:tab w:val="clear" w:pos="3515"/>
          <w:tab w:val="left" w:pos="624"/>
        </w:tabs>
        <w:spacing w:after="120"/>
        <w:ind w:left="1871" w:firstLine="624"/>
        <w:rPr>
          <w:iCs/>
        </w:rPr>
      </w:pPr>
      <w:r w:rsidRPr="001662B3">
        <w:rPr>
          <w:iCs/>
        </w:rPr>
        <w:tab/>
        <w:t>(b)</w:t>
      </w:r>
      <w:r w:rsidRPr="001662B3">
        <w:rPr>
          <w:iCs/>
        </w:rPr>
        <w:tab/>
        <w:t xml:space="preserve">Their activity reports for the period </w:t>
      </w:r>
      <w:r w:rsidR="0053729A" w:rsidRPr="001662B3">
        <w:rPr>
          <w:iCs/>
        </w:rPr>
        <w:t xml:space="preserve">from </w:t>
      </w:r>
      <w:r w:rsidRPr="001662B3">
        <w:rPr>
          <w:iCs/>
        </w:rPr>
        <w:t>1 January 201</w:t>
      </w:r>
      <w:r w:rsidR="00F34867" w:rsidRPr="001662B3">
        <w:rPr>
          <w:iCs/>
        </w:rPr>
        <w:t>7</w:t>
      </w:r>
      <w:r w:rsidR="0053729A" w:rsidRPr="001662B3">
        <w:rPr>
          <w:iCs/>
        </w:rPr>
        <w:t xml:space="preserve"> to </w:t>
      </w:r>
      <w:r w:rsidRPr="001662B3">
        <w:rPr>
          <w:iCs/>
        </w:rPr>
        <w:t>31 December 201</w:t>
      </w:r>
      <w:r w:rsidR="00F34867" w:rsidRPr="001662B3">
        <w:rPr>
          <w:iCs/>
        </w:rPr>
        <w:t>8</w:t>
      </w:r>
      <w:r w:rsidRPr="001662B3">
        <w:rPr>
          <w:iCs/>
        </w:rPr>
        <w:t xml:space="preserve"> by 31 December 201</w:t>
      </w:r>
      <w:r w:rsidR="00F34867" w:rsidRPr="001662B3">
        <w:rPr>
          <w:iCs/>
        </w:rPr>
        <w:t>8</w:t>
      </w:r>
      <w:r w:rsidRPr="001662B3">
        <w:rPr>
          <w:iCs/>
        </w:rPr>
        <w:t>;</w:t>
      </w:r>
    </w:p>
    <w:p w:rsidR="006D4DFB" w:rsidRPr="001662B3" w:rsidRDefault="006D4DFB" w:rsidP="00756C86">
      <w:pPr>
        <w:pStyle w:val="Normal-pool"/>
        <w:numPr>
          <w:ilvl w:val="0"/>
          <w:numId w:val="7"/>
        </w:numPr>
        <w:tabs>
          <w:tab w:val="clear" w:pos="1247"/>
          <w:tab w:val="clear" w:pos="1814"/>
          <w:tab w:val="clear" w:pos="2381"/>
          <w:tab w:val="clear" w:pos="2654"/>
          <w:tab w:val="clear" w:pos="2948"/>
          <w:tab w:val="clear" w:pos="3515"/>
          <w:tab w:val="left" w:pos="624"/>
          <w:tab w:val="num" w:pos="3119"/>
        </w:tabs>
        <w:spacing w:after="120"/>
        <w:ind w:left="1871" w:firstLine="624"/>
        <w:rPr>
          <w:iCs/>
        </w:rPr>
      </w:pPr>
      <w:r w:rsidRPr="001662B3">
        <w:rPr>
          <w:i/>
          <w:iCs/>
        </w:rPr>
        <w:t>Requests</w:t>
      </w:r>
      <w:r w:rsidRPr="001662B3">
        <w:rPr>
          <w:iCs/>
        </w:rPr>
        <w:t xml:space="preserve"> the Secretariat to prepare</w:t>
      </w:r>
      <w:r w:rsidR="00B2669F" w:rsidRPr="001662B3">
        <w:rPr>
          <w:iCs/>
        </w:rPr>
        <w:t xml:space="preserve"> a report on the activities of the Stockholm Convention regional and subregional centres for consideration by the Conference of the Parties at its ninth meeting;</w:t>
      </w:r>
    </w:p>
    <w:p w:rsidR="001A6BC1" w:rsidRPr="001662B3" w:rsidRDefault="001A6BC1" w:rsidP="00756C86">
      <w:pPr>
        <w:pStyle w:val="Normal-pool"/>
        <w:numPr>
          <w:ilvl w:val="0"/>
          <w:numId w:val="7"/>
        </w:numPr>
        <w:tabs>
          <w:tab w:val="clear" w:pos="1247"/>
          <w:tab w:val="clear" w:pos="1814"/>
          <w:tab w:val="clear" w:pos="2381"/>
          <w:tab w:val="clear" w:pos="2654"/>
          <w:tab w:val="clear" w:pos="2948"/>
          <w:tab w:val="clear" w:pos="3515"/>
          <w:tab w:val="left" w:pos="624"/>
          <w:tab w:val="num" w:pos="3119"/>
        </w:tabs>
        <w:spacing w:after="120"/>
        <w:ind w:left="1871" w:firstLine="624"/>
        <w:rPr>
          <w:iCs/>
        </w:rPr>
      </w:pPr>
      <w:r w:rsidRPr="001662B3">
        <w:rPr>
          <w:i/>
          <w:iCs/>
          <w:lang w:eastAsia="en-GB" w:bidi="ne-NP"/>
        </w:rPr>
        <w:t xml:space="preserve">Takes </w:t>
      </w:r>
      <w:r w:rsidR="00B22A2D" w:rsidRPr="001662B3">
        <w:rPr>
          <w:i/>
          <w:lang w:eastAsia="en-GB" w:bidi="ne-NP"/>
        </w:rPr>
        <w:t>note</w:t>
      </w:r>
      <w:r w:rsidRPr="001662B3">
        <w:rPr>
          <w:lang w:eastAsia="en-GB" w:bidi="ne-NP"/>
        </w:rPr>
        <w:t xml:space="preserve"> of the information provided by the Secretariat </w:t>
      </w:r>
      <w:r w:rsidR="00F01315" w:rsidRPr="001662B3">
        <w:rPr>
          <w:lang w:eastAsia="en-GB" w:bidi="ne-NP"/>
        </w:rPr>
        <w:t>pertaining to the selection of regional centres</w:t>
      </w:r>
      <w:r w:rsidR="00115F71" w:rsidRPr="001662B3">
        <w:rPr>
          <w:lang w:eastAsia="en-GB" w:bidi="ne-NP"/>
        </w:rPr>
        <w:t>;</w:t>
      </w:r>
      <w:r w:rsidR="00ED6F1C" w:rsidRPr="001662B3">
        <w:rPr>
          <w:rStyle w:val="FootnoteReference"/>
          <w:lang w:eastAsia="en-GB" w:bidi="ne-NP"/>
        </w:rPr>
        <w:footnoteReference w:id="16"/>
      </w:r>
      <w:r w:rsidR="002E7865" w:rsidRPr="001662B3">
        <w:t xml:space="preserve"> </w:t>
      </w:r>
    </w:p>
    <w:p w:rsidR="006D4DFB" w:rsidRPr="001662B3" w:rsidRDefault="006D4DFB" w:rsidP="00756C86">
      <w:pPr>
        <w:pStyle w:val="Normal-pool"/>
        <w:numPr>
          <w:ilvl w:val="0"/>
          <w:numId w:val="7"/>
        </w:numPr>
        <w:tabs>
          <w:tab w:val="clear" w:pos="1247"/>
          <w:tab w:val="clear" w:pos="1814"/>
          <w:tab w:val="clear" w:pos="2381"/>
          <w:tab w:val="clear" w:pos="2654"/>
          <w:tab w:val="clear" w:pos="2948"/>
          <w:tab w:val="clear" w:pos="3515"/>
          <w:tab w:val="left" w:pos="624"/>
          <w:tab w:val="num" w:pos="3119"/>
        </w:tabs>
        <w:spacing w:after="120"/>
        <w:ind w:left="1871" w:firstLine="624"/>
        <w:rPr>
          <w:iCs/>
        </w:rPr>
      </w:pPr>
      <w:r w:rsidRPr="001662B3">
        <w:rPr>
          <w:i/>
          <w:iCs/>
        </w:rPr>
        <w:t>Invites</w:t>
      </w:r>
      <w:r w:rsidRPr="001662B3">
        <w:rPr>
          <w:iCs/>
        </w:rPr>
        <w:t xml:space="preserve"> </w:t>
      </w:r>
      <w:r w:rsidR="009A2306" w:rsidRPr="001662B3">
        <w:rPr>
          <w:iCs/>
        </w:rPr>
        <w:t>P</w:t>
      </w:r>
      <w:r w:rsidRPr="001662B3">
        <w:rPr>
          <w:iCs/>
        </w:rPr>
        <w:t xml:space="preserve">arties, </w:t>
      </w:r>
      <w:r w:rsidRPr="001662B3">
        <w:rPr>
          <w:lang w:eastAsia="en-GB" w:bidi="ne-NP"/>
        </w:rPr>
        <w:t>observers</w:t>
      </w:r>
      <w:r w:rsidRPr="001662B3">
        <w:rPr>
          <w:iCs/>
        </w:rPr>
        <w:t xml:space="preserve"> and other financial institutions in a position to do so to provide financial support to enable Stockholm Convention regional and subregional centres to implement their workplans </w:t>
      </w:r>
      <w:r w:rsidR="00064992" w:rsidRPr="001662B3">
        <w:rPr>
          <w:iCs/>
        </w:rPr>
        <w:t xml:space="preserve">with the </w:t>
      </w:r>
      <w:r w:rsidRPr="001662B3">
        <w:rPr>
          <w:iCs/>
        </w:rPr>
        <w:t xml:space="preserve">aim </w:t>
      </w:r>
      <w:r w:rsidR="00064992" w:rsidRPr="001662B3">
        <w:rPr>
          <w:iCs/>
        </w:rPr>
        <w:t xml:space="preserve">of </w:t>
      </w:r>
      <w:r w:rsidRPr="001662B3">
        <w:rPr>
          <w:iCs/>
        </w:rPr>
        <w:t xml:space="preserve">supporting </w:t>
      </w:r>
      <w:r w:rsidR="009A2306" w:rsidRPr="001662B3">
        <w:rPr>
          <w:iCs/>
        </w:rPr>
        <w:t>P</w:t>
      </w:r>
      <w:r w:rsidRPr="001662B3">
        <w:rPr>
          <w:iCs/>
        </w:rPr>
        <w:t xml:space="preserve">arties </w:t>
      </w:r>
      <w:r w:rsidR="009D32CE" w:rsidRPr="001662B3">
        <w:rPr>
          <w:iCs/>
        </w:rPr>
        <w:t xml:space="preserve">in their efforts </w:t>
      </w:r>
      <w:r w:rsidRPr="001662B3">
        <w:rPr>
          <w:iCs/>
        </w:rPr>
        <w:t xml:space="preserve">to </w:t>
      </w:r>
      <w:r w:rsidR="0015544E" w:rsidRPr="001662B3">
        <w:rPr>
          <w:iCs/>
        </w:rPr>
        <w:t>meet</w:t>
      </w:r>
      <w:r w:rsidRPr="001662B3">
        <w:rPr>
          <w:iCs/>
        </w:rPr>
        <w:t xml:space="preserve"> their obligations under the Convention.</w:t>
      </w:r>
    </w:p>
    <w:tbl>
      <w:tblPr>
        <w:tblW w:w="0" w:type="auto"/>
        <w:tblLook w:val="04A0" w:firstRow="1" w:lastRow="0" w:firstColumn="1" w:lastColumn="0" w:noHBand="0" w:noVBand="1"/>
      </w:tblPr>
      <w:tblGrid>
        <w:gridCol w:w="1942"/>
        <w:gridCol w:w="1942"/>
        <w:gridCol w:w="1943"/>
        <w:gridCol w:w="1943"/>
        <w:gridCol w:w="1943"/>
      </w:tblGrid>
      <w:tr w:rsidR="00D83BFF" w:rsidRPr="001662B3" w:rsidTr="00EC0299">
        <w:trPr>
          <w:trHeight w:val="144"/>
        </w:trPr>
        <w:tc>
          <w:tcPr>
            <w:tcW w:w="1942" w:type="dxa"/>
            <w:shd w:val="clear" w:color="auto" w:fill="auto"/>
          </w:tcPr>
          <w:p w:rsidR="00D83BFF" w:rsidRPr="001662B3" w:rsidRDefault="00D83BFF" w:rsidP="008219AC">
            <w:pPr>
              <w:pStyle w:val="Normal-pool"/>
              <w:spacing w:before="520"/>
            </w:pPr>
          </w:p>
        </w:tc>
        <w:tc>
          <w:tcPr>
            <w:tcW w:w="1942" w:type="dxa"/>
            <w:shd w:val="clear" w:color="auto" w:fill="auto"/>
          </w:tcPr>
          <w:p w:rsidR="00D83BFF" w:rsidRPr="001662B3" w:rsidRDefault="00D83BFF" w:rsidP="008219AC">
            <w:pPr>
              <w:pStyle w:val="Normal-pool"/>
              <w:spacing w:before="520"/>
            </w:pPr>
          </w:p>
        </w:tc>
        <w:tc>
          <w:tcPr>
            <w:tcW w:w="1943" w:type="dxa"/>
            <w:tcBorders>
              <w:bottom w:val="single" w:sz="4" w:space="0" w:color="auto"/>
            </w:tcBorders>
            <w:shd w:val="clear" w:color="auto" w:fill="auto"/>
          </w:tcPr>
          <w:p w:rsidR="00D83BFF" w:rsidRPr="001662B3" w:rsidRDefault="00D83BFF" w:rsidP="008219AC">
            <w:pPr>
              <w:pStyle w:val="Normal-pool"/>
              <w:spacing w:before="520"/>
            </w:pPr>
          </w:p>
        </w:tc>
        <w:tc>
          <w:tcPr>
            <w:tcW w:w="1943" w:type="dxa"/>
            <w:shd w:val="clear" w:color="auto" w:fill="auto"/>
          </w:tcPr>
          <w:p w:rsidR="00D83BFF" w:rsidRPr="001662B3" w:rsidRDefault="00D83BFF" w:rsidP="008219AC">
            <w:pPr>
              <w:pStyle w:val="Normal-pool"/>
              <w:spacing w:before="520"/>
            </w:pPr>
          </w:p>
        </w:tc>
        <w:tc>
          <w:tcPr>
            <w:tcW w:w="1943" w:type="dxa"/>
            <w:shd w:val="clear" w:color="auto" w:fill="auto"/>
          </w:tcPr>
          <w:p w:rsidR="00D83BFF" w:rsidRPr="001662B3" w:rsidRDefault="00D83BFF" w:rsidP="008219AC">
            <w:pPr>
              <w:pStyle w:val="Normal-pool"/>
              <w:spacing w:before="520"/>
            </w:pPr>
          </w:p>
        </w:tc>
      </w:tr>
    </w:tbl>
    <w:p w:rsidR="0096332C" w:rsidRPr="001662B3" w:rsidRDefault="0096332C" w:rsidP="005B023E">
      <w:pPr>
        <w:rPr>
          <w:sz w:val="20"/>
        </w:rPr>
      </w:pPr>
    </w:p>
    <w:sectPr w:rsidR="0096332C" w:rsidRPr="001662B3" w:rsidSect="00046058">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D6" w:rsidRDefault="00BE5FD6">
      <w:r>
        <w:separator/>
      </w:r>
    </w:p>
  </w:endnote>
  <w:endnote w:type="continuationSeparator" w:id="0">
    <w:p w:rsidR="00BE5FD6" w:rsidRDefault="00BE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D6" w:rsidRPr="008310DC" w:rsidRDefault="00BE5FD6">
    <w:pPr>
      <w:pStyle w:val="Footer"/>
      <w:rPr>
        <w:b/>
        <w:sz w:val="20"/>
      </w:rPr>
    </w:pPr>
    <w:r>
      <w:rPr>
        <w:rStyle w:val="PageNumber"/>
      </w:rPr>
      <w:fldChar w:fldCharType="begin"/>
    </w:r>
    <w:r>
      <w:rPr>
        <w:rStyle w:val="PageNumber"/>
      </w:rPr>
      <w:instrText xml:space="preserve"> PAGE </w:instrText>
    </w:r>
    <w:r>
      <w:rPr>
        <w:rStyle w:val="PageNumber"/>
      </w:rPr>
      <w:fldChar w:fldCharType="separate"/>
    </w:r>
    <w:r w:rsidR="001662B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38499"/>
      <w:docPartObj>
        <w:docPartGallery w:val="Page Numbers (Bottom of Page)"/>
        <w:docPartUnique/>
      </w:docPartObj>
    </w:sdtPr>
    <w:sdtEndPr>
      <w:rPr>
        <w:b/>
        <w:noProof/>
        <w:sz w:val="18"/>
        <w:szCs w:val="18"/>
      </w:rPr>
    </w:sdtEndPr>
    <w:sdtContent>
      <w:p w:rsidR="00BE5FD6" w:rsidRPr="00111E09" w:rsidRDefault="00BE5FD6" w:rsidP="00111E09">
        <w:pPr>
          <w:pStyle w:val="Normal-pool"/>
          <w:jc w:val="right"/>
          <w:rPr>
            <w:b/>
            <w:sz w:val="18"/>
            <w:szCs w:val="18"/>
          </w:rPr>
        </w:pPr>
        <w:r w:rsidRPr="00111E09">
          <w:rPr>
            <w:b/>
            <w:sz w:val="18"/>
            <w:szCs w:val="18"/>
          </w:rPr>
          <w:fldChar w:fldCharType="begin"/>
        </w:r>
        <w:r w:rsidRPr="00111E09">
          <w:rPr>
            <w:b/>
            <w:sz w:val="18"/>
            <w:szCs w:val="18"/>
          </w:rPr>
          <w:instrText xml:space="preserve"> PAGE   \* MERGEFORMAT </w:instrText>
        </w:r>
        <w:r w:rsidRPr="00111E09">
          <w:rPr>
            <w:b/>
            <w:sz w:val="18"/>
            <w:szCs w:val="18"/>
          </w:rPr>
          <w:fldChar w:fldCharType="separate"/>
        </w:r>
        <w:r w:rsidR="001662B3">
          <w:rPr>
            <w:b/>
            <w:noProof/>
            <w:sz w:val="18"/>
            <w:szCs w:val="18"/>
          </w:rPr>
          <w:t>3</w:t>
        </w:r>
        <w:r w:rsidRPr="00111E09">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D6" w:rsidRPr="00756C86" w:rsidRDefault="00BE5FD6" w:rsidP="00756C86">
    <w:pPr>
      <w:pStyle w:val="Footer"/>
      <w:tabs>
        <w:tab w:val="clear" w:pos="4320"/>
        <w:tab w:val="clear" w:pos="8640"/>
        <w:tab w:val="left" w:pos="624"/>
      </w:tabs>
      <w:rPr>
        <w:sz w:val="20"/>
      </w:rPr>
    </w:pPr>
    <w:r>
      <w:rPr>
        <w:sz w:val="20"/>
      </w:rPr>
      <w:t>K1702619</w:t>
    </w:r>
    <w:r>
      <w:rPr>
        <w:sz w:val="20"/>
      </w:rPr>
      <w:tab/>
    </w:r>
    <w:r w:rsidR="00A613FC">
      <w:rPr>
        <w:sz w:val="20"/>
      </w:rPr>
      <w:t>12</w:t>
    </w:r>
    <w:r w:rsidR="00A613FC">
      <w:rPr>
        <w:sz w:val="20"/>
      </w:rPr>
      <w:t>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D6" w:rsidRPr="00A134FC" w:rsidRDefault="00BE5FD6" w:rsidP="00A134FC">
      <w:pPr>
        <w:spacing w:before="60"/>
        <w:ind w:left="624"/>
        <w:rPr>
          <w:sz w:val="18"/>
          <w:szCs w:val="18"/>
        </w:rPr>
      </w:pPr>
      <w:r w:rsidRPr="00A134FC">
        <w:rPr>
          <w:sz w:val="18"/>
          <w:szCs w:val="18"/>
        </w:rPr>
        <w:separator/>
      </w:r>
    </w:p>
  </w:footnote>
  <w:footnote w:type="continuationSeparator" w:id="0">
    <w:p w:rsidR="00BE5FD6" w:rsidRDefault="00BE5FD6">
      <w:r>
        <w:continuationSeparator/>
      </w:r>
    </w:p>
  </w:footnote>
  <w:footnote w:id="1">
    <w:p w:rsidR="00BE5FD6" w:rsidRPr="00566E56" w:rsidRDefault="00BE5FD6" w:rsidP="00A93BBF">
      <w:pPr>
        <w:pStyle w:val="FootnoteText"/>
        <w:tabs>
          <w:tab w:val="left" w:pos="624"/>
        </w:tabs>
        <w:rPr>
          <w:bCs/>
          <w:szCs w:val="18"/>
        </w:rPr>
      </w:pPr>
      <w:r w:rsidRPr="00566E56">
        <w:rPr>
          <w:rStyle w:val="FootnoteReference"/>
          <w:sz w:val="18"/>
          <w:vertAlign w:val="baseline"/>
        </w:rPr>
        <w:t>*</w:t>
      </w:r>
      <w:r w:rsidRPr="00566E56">
        <w:rPr>
          <w:szCs w:val="18"/>
        </w:rPr>
        <w:t xml:space="preserve"> UNEP/POPS/COP.8/1.</w:t>
      </w:r>
    </w:p>
  </w:footnote>
  <w:footnote w:id="2">
    <w:p w:rsidR="00BE5FD6" w:rsidRPr="00566E56" w:rsidRDefault="00BE5FD6" w:rsidP="00E70CB6">
      <w:pPr>
        <w:pStyle w:val="FootnoteText"/>
        <w:rPr>
          <w:szCs w:val="18"/>
        </w:rPr>
      </w:pPr>
      <w:r w:rsidRPr="00566E56">
        <w:rPr>
          <w:rStyle w:val="FootnoteReference"/>
          <w:sz w:val="18"/>
        </w:rPr>
        <w:footnoteRef/>
      </w:r>
      <w:r w:rsidRPr="00566E56">
        <w:rPr>
          <w:szCs w:val="18"/>
        </w:rPr>
        <w:t xml:space="preserve"> Decision SC-6/16, annex </w:t>
      </w:r>
      <w:r w:rsidRPr="00602D78">
        <w:rPr>
          <w:szCs w:val="18"/>
        </w:rPr>
        <w:t>III.</w:t>
      </w:r>
    </w:p>
  </w:footnote>
  <w:footnote w:id="3">
    <w:p w:rsidR="00BE5FD6" w:rsidRPr="00566E56" w:rsidRDefault="00BE5FD6" w:rsidP="00560464">
      <w:pPr>
        <w:pStyle w:val="FootnoteText"/>
        <w:rPr>
          <w:szCs w:val="18"/>
        </w:rPr>
      </w:pPr>
      <w:r w:rsidRPr="00566E56">
        <w:rPr>
          <w:rStyle w:val="FootnoteReference"/>
          <w:sz w:val="18"/>
        </w:rPr>
        <w:footnoteRef/>
      </w:r>
      <w:r w:rsidRPr="00566E56">
        <w:rPr>
          <w:szCs w:val="18"/>
        </w:rPr>
        <w:t xml:space="preserve"> Available at </w:t>
      </w:r>
      <w:hyperlink r:id="rId1" w:history="1">
        <w:r w:rsidRPr="00566E56">
          <w:rPr>
            <w:szCs w:val="18"/>
          </w:rPr>
          <w:t>http://chm.pops.int/Partners/RegionalCentres/Workplans/tabid/482/Default.aspx</w:t>
        </w:r>
      </w:hyperlink>
      <w:r w:rsidRPr="00566E56">
        <w:rPr>
          <w:szCs w:val="18"/>
        </w:rPr>
        <w:t xml:space="preserve">. </w:t>
      </w:r>
    </w:p>
  </w:footnote>
  <w:footnote w:id="4">
    <w:p w:rsidR="00BE5FD6" w:rsidRPr="00566E56" w:rsidRDefault="00BE5FD6" w:rsidP="00560464">
      <w:pPr>
        <w:pStyle w:val="FootnoteText"/>
        <w:rPr>
          <w:szCs w:val="18"/>
        </w:rPr>
      </w:pPr>
      <w:r w:rsidRPr="00566E56">
        <w:rPr>
          <w:rStyle w:val="FootnoteReference"/>
          <w:sz w:val="18"/>
        </w:rPr>
        <w:footnoteRef/>
      </w:r>
      <w:r w:rsidRPr="00566E56">
        <w:rPr>
          <w:szCs w:val="18"/>
        </w:rPr>
        <w:t xml:space="preserve"> Available at </w:t>
      </w:r>
      <w:hyperlink r:id="rId2" w:history="1">
        <w:r w:rsidRPr="00566E56">
          <w:rPr>
            <w:rStyle w:val="Hyperlink"/>
            <w:sz w:val="18"/>
            <w:szCs w:val="18"/>
            <w:lang w:val="en-GB"/>
          </w:rPr>
          <w:t>http://chm.pops.int/Partners/RegionalCentres/ActivitiesReport/tabid/4112/Default.aspx</w:t>
        </w:r>
      </w:hyperlink>
      <w:r w:rsidRPr="00566E56">
        <w:rPr>
          <w:szCs w:val="18"/>
        </w:rPr>
        <w:t>.</w:t>
      </w:r>
    </w:p>
  </w:footnote>
  <w:footnote w:id="5">
    <w:p w:rsidR="00BE5FD6" w:rsidRPr="00566E56" w:rsidRDefault="00BE5FD6" w:rsidP="00560464">
      <w:pPr>
        <w:pStyle w:val="FootnoteText"/>
        <w:rPr>
          <w:szCs w:val="18"/>
        </w:rPr>
      </w:pPr>
      <w:r w:rsidRPr="00566E56">
        <w:rPr>
          <w:rStyle w:val="FootnoteReference"/>
          <w:sz w:val="18"/>
        </w:rPr>
        <w:footnoteRef/>
      </w:r>
      <w:r w:rsidRPr="00566E56">
        <w:rPr>
          <w:szCs w:val="18"/>
        </w:rPr>
        <w:t xml:space="preserve"> The methodology is set out in annex III to decision SC-6/16. </w:t>
      </w:r>
    </w:p>
  </w:footnote>
  <w:footnote w:id="6">
    <w:p w:rsidR="00BE5FD6" w:rsidRPr="00566E56" w:rsidRDefault="00BE5FD6" w:rsidP="00560464">
      <w:pPr>
        <w:pStyle w:val="FootnoteText"/>
        <w:rPr>
          <w:szCs w:val="18"/>
        </w:rPr>
      </w:pPr>
      <w:r w:rsidRPr="00566E56">
        <w:rPr>
          <w:rStyle w:val="FootnoteReference"/>
          <w:sz w:val="18"/>
        </w:rPr>
        <w:footnoteRef/>
      </w:r>
      <w:r w:rsidRPr="00566E56">
        <w:rPr>
          <w:szCs w:val="18"/>
        </w:rPr>
        <w:t xml:space="preserve"> See http://chm.pops.int/Partners/RegionalCentres/Performanceevaluationreports/tabid/4456/Default.aspx.</w:t>
      </w:r>
    </w:p>
  </w:footnote>
  <w:footnote w:id="7">
    <w:p w:rsidR="00BE5FD6" w:rsidRPr="00566E56" w:rsidRDefault="00BE5FD6" w:rsidP="00560464">
      <w:pPr>
        <w:pStyle w:val="FootnoteText"/>
        <w:rPr>
          <w:szCs w:val="18"/>
        </w:rPr>
      </w:pPr>
      <w:r w:rsidRPr="00566E56">
        <w:rPr>
          <w:rStyle w:val="FootnoteReference"/>
          <w:sz w:val="18"/>
        </w:rPr>
        <w:footnoteRef/>
      </w:r>
      <w:r w:rsidRPr="00566E56">
        <w:rPr>
          <w:szCs w:val="18"/>
        </w:rPr>
        <w:t xml:space="preserve"> The activities described in the present section are undertaken in accordance with joint a</w:t>
      </w:r>
      <w:r w:rsidRPr="00566E56">
        <w:rPr>
          <w:rStyle w:val="Hyperlink"/>
          <w:sz w:val="18"/>
          <w:szCs w:val="18"/>
          <w:lang w:val="en-GB"/>
        </w:rPr>
        <w:t>ctivity 19 of the 2016</w:t>
      </w:r>
      <w:r w:rsidRPr="00566E56">
        <w:rPr>
          <w:rStyle w:val="Hyperlink"/>
          <w:sz w:val="18"/>
          <w:szCs w:val="18"/>
          <w:lang w:val="en-GB"/>
        </w:rPr>
        <w:noBreakHyphen/>
        <w:t>2017 programme of work, on coordination of and support to the regional centres under the Basel and Stockholm conventions and coordination and cooperation between the centres.</w:t>
      </w:r>
    </w:p>
  </w:footnote>
  <w:footnote w:id="8">
    <w:p w:rsidR="00BE5FD6" w:rsidRPr="00566E56" w:rsidRDefault="00BE5FD6" w:rsidP="001C0C8B">
      <w:pPr>
        <w:pStyle w:val="FootnoteText"/>
        <w:rPr>
          <w:szCs w:val="18"/>
        </w:rPr>
      </w:pPr>
      <w:r w:rsidRPr="00566E56">
        <w:rPr>
          <w:rStyle w:val="FootnoteReference"/>
          <w:sz w:val="18"/>
        </w:rPr>
        <w:footnoteRef/>
      </w:r>
      <w:r w:rsidRPr="00566E56">
        <w:rPr>
          <w:szCs w:val="18"/>
        </w:rPr>
        <w:t xml:space="preserve"> See </w:t>
      </w:r>
      <w:hyperlink r:id="rId3" w:history="1">
        <w:r w:rsidRPr="00566E56">
          <w:rPr>
            <w:rStyle w:val="Hyperlink"/>
            <w:sz w:val="18"/>
            <w:szCs w:val="18"/>
            <w:lang w:val="en-GB"/>
          </w:rPr>
          <w:t>http://synergies.pops.int/Default.aspx?tabid=4624</w:t>
        </w:r>
      </w:hyperlink>
      <w:r w:rsidRPr="00566E56">
        <w:rPr>
          <w:szCs w:val="18"/>
        </w:rPr>
        <w:t xml:space="preserve"> (2015 meeting) and </w:t>
      </w:r>
      <w:hyperlink r:id="rId4" w:history="1">
        <w:r w:rsidRPr="00566E56">
          <w:rPr>
            <w:rStyle w:val="Hyperlink"/>
            <w:sz w:val="18"/>
            <w:szCs w:val="18"/>
            <w:lang w:val="en-GB"/>
          </w:rPr>
          <w:t>http://synergies.pops.int/Default.aspx?tabid=5281</w:t>
        </w:r>
      </w:hyperlink>
      <w:r w:rsidRPr="00566E56">
        <w:rPr>
          <w:szCs w:val="18"/>
        </w:rPr>
        <w:t xml:space="preserve"> (2016 meeting).</w:t>
      </w:r>
    </w:p>
  </w:footnote>
  <w:footnote w:id="9">
    <w:p w:rsidR="00BE5FD6" w:rsidRPr="00566E56" w:rsidRDefault="00BE5FD6" w:rsidP="001C0C8B">
      <w:pPr>
        <w:pStyle w:val="Normalnumber"/>
        <w:numPr>
          <w:ilvl w:val="0"/>
          <w:numId w:val="0"/>
        </w:numPr>
        <w:spacing w:before="20" w:after="40"/>
        <w:ind w:left="1247"/>
        <w:rPr>
          <w:sz w:val="18"/>
          <w:szCs w:val="18"/>
        </w:rPr>
      </w:pPr>
      <w:r w:rsidRPr="002A26B1">
        <w:rPr>
          <w:rStyle w:val="FootnoteReference"/>
          <w:sz w:val="18"/>
        </w:rPr>
        <w:footnoteRef/>
      </w:r>
      <w:r w:rsidRPr="002A26B1">
        <w:rPr>
          <w:sz w:val="18"/>
          <w:szCs w:val="18"/>
          <w:lang w:val="en-US"/>
        </w:rPr>
        <w:t xml:space="preserve"> The communications received from the Permanent Mission of the Russian Federation to the United Nations in Geneva are available from </w:t>
      </w:r>
      <w:hyperlink r:id="rId5" w:history="1">
        <w:r w:rsidRPr="002A26B1">
          <w:rPr>
            <w:rStyle w:val="Hyperlink"/>
            <w:sz w:val="18"/>
            <w:szCs w:val="18"/>
            <w:lang w:val="en-GB"/>
          </w:rPr>
          <w:t>http://chm.pops.int/?tabid=600</w:t>
        </w:r>
      </w:hyperlink>
      <w:r w:rsidRPr="00A134FC">
        <w:rPr>
          <w:sz w:val="18"/>
          <w:szCs w:val="18"/>
        </w:rPr>
        <w:t>.</w:t>
      </w:r>
      <w:r>
        <w:rPr>
          <w:sz w:val="18"/>
          <w:szCs w:val="18"/>
        </w:rPr>
        <w:t xml:space="preserve"> </w:t>
      </w:r>
    </w:p>
  </w:footnote>
  <w:footnote w:id="10">
    <w:p w:rsidR="00BE5FD6" w:rsidRPr="00510B3C" w:rsidRDefault="00BE5FD6" w:rsidP="001C0C8B">
      <w:pPr>
        <w:pStyle w:val="FootnoteText"/>
        <w:rPr>
          <w:szCs w:val="18"/>
          <w:lang w:val="fr-BE"/>
        </w:rPr>
      </w:pPr>
      <w:r w:rsidRPr="00566E56">
        <w:rPr>
          <w:rStyle w:val="FootnoteReference"/>
          <w:sz w:val="18"/>
        </w:rPr>
        <w:footnoteRef/>
      </w:r>
      <w:r w:rsidRPr="00510B3C">
        <w:rPr>
          <w:szCs w:val="18"/>
          <w:lang w:val="fr-BE"/>
        </w:rPr>
        <w:t xml:space="preserve"> UNEP(DTIE)/Hg/INC.7/INF/9.</w:t>
      </w:r>
    </w:p>
  </w:footnote>
  <w:footnote w:id="11">
    <w:p w:rsidR="00BE5FD6" w:rsidRPr="00566E56" w:rsidRDefault="00BE5FD6" w:rsidP="001C0C8B">
      <w:pPr>
        <w:pStyle w:val="FootnoteText"/>
        <w:rPr>
          <w:szCs w:val="18"/>
          <w:lang w:val="en-US"/>
        </w:rPr>
      </w:pPr>
      <w:r w:rsidRPr="00566E56">
        <w:rPr>
          <w:rStyle w:val="FootnoteReference"/>
          <w:sz w:val="18"/>
        </w:rPr>
        <w:footnoteRef/>
      </w:r>
      <w:r w:rsidRPr="00566E56">
        <w:rPr>
          <w:szCs w:val="18"/>
          <w:lang w:val="en-US"/>
        </w:rPr>
        <w:t xml:space="preserve"> UNEP/POPS/COP.8/22/Add.1.</w:t>
      </w:r>
    </w:p>
  </w:footnote>
  <w:footnote w:id="12">
    <w:p w:rsidR="00BE5FD6" w:rsidRPr="00566E56" w:rsidRDefault="00BE5FD6" w:rsidP="00756C86">
      <w:pPr>
        <w:pStyle w:val="Normalnumber"/>
        <w:numPr>
          <w:ilvl w:val="0"/>
          <w:numId w:val="0"/>
        </w:numPr>
        <w:spacing w:before="20" w:after="40"/>
        <w:ind w:left="1247"/>
        <w:rPr>
          <w:sz w:val="18"/>
          <w:szCs w:val="18"/>
        </w:rPr>
      </w:pPr>
      <w:r w:rsidRPr="00566E56">
        <w:rPr>
          <w:rStyle w:val="FootnoteReference"/>
          <w:sz w:val="18"/>
        </w:rPr>
        <w:footnoteRef/>
      </w:r>
      <w:r w:rsidRPr="00566E56">
        <w:rPr>
          <w:sz w:val="18"/>
          <w:szCs w:val="18"/>
        </w:rPr>
        <w:t xml:space="preserve"> At its meeting </w:t>
      </w:r>
      <w:r>
        <w:rPr>
          <w:sz w:val="18"/>
          <w:szCs w:val="18"/>
        </w:rPr>
        <w:t xml:space="preserve">held </w:t>
      </w:r>
      <w:r w:rsidRPr="00566E56">
        <w:rPr>
          <w:sz w:val="18"/>
          <w:szCs w:val="18"/>
        </w:rPr>
        <w:t xml:space="preserve">on 11and 12 July 2016, the Bureau of the Conference of the Parties to the Basel Convention agreed that for agenda item </w:t>
      </w:r>
      <w:r>
        <w:rPr>
          <w:sz w:val="18"/>
          <w:szCs w:val="18"/>
        </w:rPr>
        <w:t>4 (d), pertaining to</w:t>
      </w:r>
      <w:r w:rsidRPr="00566E56">
        <w:rPr>
          <w:sz w:val="18"/>
          <w:szCs w:val="18"/>
        </w:rPr>
        <w:t xml:space="preserve"> technical assistance</w:t>
      </w:r>
      <w:r>
        <w:rPr>
          <w:sz w:val="18"/>
          <w:szCs w:val="18"/>
        </w:rPr>
        <w:t>,</w:t>
      </w:r>
      <w:r w:rsidRPr="00566E56">
        <w:rPr>
          <w:sz w:val="18"/>
          <w:szCs w:val="18"/>
        </w:rPr>
        <w:t xml:space="preserve"> the outcome of the discussion of the three related agenda </w:t>
      </w:r>
      <w:r>
        <w:rPr>
          <w:sz w:val="18"/>
          <w:szCs w:val="18"/>
        </w:rPr>
        <w:t>sub-</w:t>
      </w:r>
      <w:r w:rsidRPr="00566E56">
        <w:rPr>
          <w:sz w:val="18"/>
          <w:szCs w:val="18"/>
        </w:rPr>
        <w:t xml:space="preserve">items would be presented as one omnibus decision of the Conference of the Parties to the Basel Convention on technical assistance. </w:t>
      </w:r>
      <w:r>
        <w:rPr>
          <w:sz w:val="18"/>
          <w:szCs w:val="18"/>
        </w:rPr>
        <w:t>To that end, t</w:t>
      </w:r>
      <w:r w:rsidRPr="00566E56">
        <w:rPr>
          <w:sz w:val="18"/>
          <w:szCs w:val="18"/>
        </w:rPr>
        <w:t>he Conference of the Parties to the Stockholm Convention may wish to consider a similar approach</w:t>
      </w:r>
      <w:r>
        <w:rPr>
          <w:sz w:val="18"/>
          <w:szCs w:val="18"/>
        </w:rPr>
        <w:t>,</w:t>
      </w:r>
      <w:r w:rsidRPr="00566E56">
        <w:rPr>
          <w:sz w:val="18"/>
          <w:szCs w:val="18"/>
        </w:rPr>
        <w:t xml:space="preserve"> adopting the </w:t>
      </w:r>
      <w:r>
        <w:rPr>
          <w:sz w:val="18"/>
          <w:szCs w:val="18"/>
        </w:rPr>
        <w:t xml:space="preserve">draft </w:t>
      </w:r>
      <w:r w:rsidRPr="00566E56">
        <w:rPr>
          <w:sz w:val="18"/>
          <w:szCs w:val="18"/>
        </w:rPr>
        <w:t>decision set out in document UNEP/CHW.13/17-UNEP/FAO/RC/COP.8/17-UNEP/POPS/COP.8/17</w:t>
      </w:r>
      <w:r>
        <w:rPr>
          <w:sz w:val="18"/>
          <w:szCs w:val="18"/>
        </w:rPr>
        <w:t>,</w:t>
      </w:r>
      <w:r w:rsidRPr="00566E56">
        <w:rPr>
          <w:sz w:val="18"/>
          <w:szCs w:val="18"/>
        </w:rPr>
        <w:t xml:space="preserve"> on technical assistance and capacity-building for the implementation of the Basel, Rotterdam and Stockholm conventions</w:t>
      </w:r>
      <w:r>
        <w:rPr>
          <w:sz w:val="18"/>
          <w:szCs w:val="18"/>
        </w:rPr>
        <w:t>,</w:t>
      </w:r>
      <w:r w:rsidRPr="00566E56">
        <w:rPr>
          <w:sz w:val="18"/>
          <w:szCs w:val="18"/>
        </w:rPr>
        <w:t xml:space="preserve"> as part I of an omnibus decision on technical assistance and the </w:t>
      </w:r>
      <w:r>
        <w:rPr>
          <w:sz w:val="18"/>
          <w:szCs w:val="18"/>
        </w:rPr>
        <w:t xml:space="preserve">draft </w:t>
      </w:r>
      <w:r w:rsidRPr="00566E56">
        <w:rPr>
          <w:sz w:val="18"/>
          <w:szCs w:val="18"/>
        </w:rPr>
        <w:t>decision set out in the present document as part II of such an omnibus decision.</w:t>
      </w:r>
    </w:p>
  </w:footnote>
  <w:footnote w:id="13">
    <w:p w:rsidR="00BE5FD6" w:rsidRPr="00566E56" w:rsidRDefault="00BE5FD6" w:rsidP="00756C86">
      <w:pPr>
        <w:pStyle w:val="FootnoteText"/>
        <w:rPr>
          <w:szCs w:val="18"/>
        </w:rPr>
      </w:pPr>
      <w:r w:rsidRPr="00566E56">
        <w:rPr>
          <w:rStyle w:val="FootnoteReference"/>
          <w:sz w:val="18"/>
        </w:rPr>
        <w:footnoteRef/>
      </w:r>
      <w:r w:rsidRPr="00566E56">
        <w:rPr>
          <w:szCs w:val="18"/>
        </w:rPr>
        <w:t xml:space="preserve"> Available at </w:t>
      </w:r>
      <w:hyperlink r:id="rId6" w:history="1">
        <w:r w:rsidRPr="00566E56">
          <w:rPr>
            <w:rStyle w:val="Hyperlink"/>
            <w:sz w:val="18"/>
            <w:szCs w:val="18"/>
            <w:lang w:val="en-GB"/>
          </w:rPr>
          <w:t>http://chm.pops.int/Partners/RegionalCentres/Workplans/tabid/482/Default.aspx</w:t>
        </w:r>
      </w:hyperlink>
      <w:r w:rsidRPr="00566E56">
        <w:rPr>
          <w:rStyle w:val="Hyperlink"/>
          <w:sz w:val="18"/>
          <w:szCs w:val="18"/>
          <w:lang w:val="en-GB"/>
        </w:rPr>
        <w:t>.</w:t>
      </w:r>
    </w:p>
  </w:footnote>
  <w:footnote w:id="14">
    <w:p w:rsidR="00BE5FD6" w:rsidRPr="00566E56" w:rsidRDefault="00BE5FD6" w:rsidP="00756C86">
      <w:pPr>
        <w:pStyle w:val="FootnoteText"/>
        <w:rPr>
          <w:szCs w:val="18"/>
        </w:rPr>
      </w:pPr>
      <w:r w:rsidRPr="00566E56">
        <w:rPr>
          <w:rStyle w:val="FootnoteReference"/>
          <w:sz w:val="18"/>
        </w:rPr>
        <w:footnoteRef/>
      </w:r>
      <w:r w:rsidRPr="00566E56">
        <w:rPr>
          <w:szCs w:val="18"/>
        </w:rPr>
        <w:t xml:space="preserve"> Available at http://chm.pops.int/Partners/RegionalCentres/ActivitiesReports/tabid/4112/Default.aspx.</w:t>
      </w:r>
    </w:p>
  </w:footnote>
  <w:footnote w:id="15">
    <w:p w:rsidR="00BE5FD6" w:rsidRPr="00566E56" w:rsidRDefault="00BE5FD6" w:rsidP="00756C86">
      <w:pPr>
        <w:pStyle w:val="FootnoteText"/>
        <w:rPr>
          <w:szCs w:val="18"/>
        </w:rPr>
      </w:pPr>
      <w:r w:rsidRPr="00566E56">
        <w:rPr>
          <w:rStyle w:val="FootnoteReference"/>
          <w:sz w:val="18"/>
        </w:rPr>
        <w:footnoteRef/>
      </w:r>
      <w:r w:rsidRPr="00566E56">
        <w:rPr>
          <w:szCs w:val="18"/>
        </w:rPr>
        <w:t xml:space="preserve"> See UNEP/CHW.13/INF/</w:t>
      </w:r>
      <w:r w:rsidR="00F27334">
        <w:rPr>
          <w:szCs w:val="18"/>
        </w:rPr>
        <w:t>29</w:t>
      </w:r>
      <w:r>
        <w:t>/Rev.1</w:t>
      </w:r>
      <w:r w:rsidRPr="00566E56">
        <w:rPr>
          <w:szCs w:val="18"/>
        </w:rPr>
        <w:t>-UNEP/POPS/COP.8/INF/26</w:t>
      </w:r>
      <w:r>
        <w:t>/Rev.1</w:t>
      </w:r>
      <w:r w:rsidRPr="00566E56">
        <w:rPr>
          <w:szCs w:val="18"/>
        </w:rPr>
        <w:t>.</w:t>
      </w:r>
    </w:p>
  </w:footnote>
  <w:footnote w:id="16">
    <w:p w:rsidR="00BE5FD6" w:rsidRPr="00566E56" w:rsidRDefault="00BE5FD6" w:rsidP="00756C86">
      <w:pPr>
        <w:pStyle w:val="FootnoteText"/>
        <w:rPr>
          <w:szCs w:val="18"/>
          <w:lang w:val="fr-CH"/>
        </w:rPr>
      </w:pPr>
      <w:r w:rsidRPr="00566E56">
        <w:rPr>
          <w:rStyle w:val="FootnoteReference"/>
          <w:sz w:val="18"/>
        </w:rPr>
        <w:footnoteRef/>
      </w:r>
      <w:r w:rsidRPr="00566E56">
        <w:rPr>
          <w:szCs w:val="18"/>
        </w:rPr>
        <w:t xml:space="preserve"> </w:t>
      </w:r>
      <w:r w:rsidRPr="00566E56">
        <w:rPr>
          <w:szCs w:val="18"/>
          <w:lang w:val="fr-CH"/>
        </w:rPr>
        <w:t>See UNEP/POPS/COP.8/16</w:t>
      </w:r>
      <w:r>
        <w:t>/Rev.1</w:t>
      </w:r>
      <w:r w:rsidRPr="00566E56">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D6" w:rsidRPr="00F17288" w:rsidRDefault="00BE5FD6" w:rsidP="00A93BBF">
    <w:pPr>
      <w:pStyle w:val="Header"/>
      <w:rPr>
        <w:szCs w:val="18"/>
        <w:lang w:val="fr-FR"/>
      </w:rPr>
    </w:pPr>
    <w:r w:rsidRPr="00F17288">
      <w:rPr>
        <w:szCs w:val="18"/>
        <w:lang w:val="fr-FR"/>
      </w:rPr>
      <w:t>UNEP/POPS/COP.</w:t>
    </w:r>
    <w:r>
      <w:rPr>
        <w:szCs w:val="18"/>
        <w:lang w:val="fr-FR"/>
      </w:rPr>
      <w:t>8</w:t>
    </w:r>
    <w:r w:rsidRPr="00F17288">
      <w:rPr>
        <w:szCs w:val="18"/>
        <w:lang w:val="fr-FR"/>
      </w:rPr>
      <w:t>/</w:t>
    </w:r>
    <w:r>
      <w:rPr>
        <w:szCs w:val="18"/>
        <w:lang w:val="fr-FR"/>
      </w:rPr>
      <w:t>16/Rev.1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D6" w:rsidRDefault="00BE5FD6" w:rsidP="00A93BBF">
    <w:pPr>
      <w:pStyle w:val="Header"/>
      <w:jc w:val="right"/>
    </w:pPr>
    <w:r>
      <w:rPr>
        <w:lang w:val="fr-FR"/>
      </w:rPr>
      <w:t>UNEP/POPS/COP.8/16/Rev.1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D6" w:rsidRDefault="00BE5FD6" w:rsidP="00397B4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DE3"/>
    <w:multiLevelType w:val="hybridMultilevel"/>
    <w:tmpl w:val="29B424B8"/>
    <w:lvl w:ilvl="0" w:tplc="E4FC1F06">
      <w:start w:val="1"/>
      <w:numFmt w:val="decimal"/>
      <w:lvlText w:val="%1."/>
      <w:lvlJc w:val="left"/>
      <w:pPr>
        <w:tabs>
          <w:tab w:val="num" w:pos="4851"/>
        </w:tabs>
        <w:ind w:left="4851" w:hanging="360"/>
      </w:pPr>
      <w:rPr>
        <w:rFonts w:ascii="Times New Roman" w:hAnsi="Times New Roman" w:hint="default"/>
        <w:b w:val="0"/>
        <w:i w:val="0"/>
        <w:color w:val="auto"/>
        <w:sz w:val="20"/>
        <w:szCs w:val="20"/>
      </w:rPr>
    </w:lvl>
    <w:lvl w:ilvl="1" w:tplc="0E1EEDD8">
      <w:start w:val="1"/>
      <w:numFmt w:val="decimal"/>
      <w:pStyle w:val="Paralevel1"/>
      <w:lvlText w:val="%2."/>
      <w:lvlJc w:val="left"/>
      <w:pPr>
        <w:tabs>
          <w:tab w:val="num" w:pos="2687"/>
        </w:tabs>
        <w:ind w:left="2687" w:hanging="360"/>
      </w:pPr>
      <w:rPr>
        <w:rFonts w:ascii="Times New Roman" w:hAnsi="Times New Roman" w:hint="default"/>
        <w:b w:val="0"/>
        <w:i w:val="0"/>
        <w:color w:val="auto"/>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
    <w:nsid w:val="0CB358A2"/>
    <w:multiLevelType w:val="hybridMultilevel"/>
    <w:tmpl w:val="028E5882"/>
    <w:lvl w:ilvl="0" w:tplc="0A9C659E">
      <w:start w:val="1"/>
      <w:numFmt w:val="lowerLetter"/>
      <w:lvlText w:val="(%1)"/>
      <w:lvlJc w:val="left"/>
      <w:pPr>
        <w:ind w:left="2534" w:hanging="360"/>
      </w:pPr>
      <w:rPr>
        <w:rFonts w:hint="default"/>
      </w:rPr>
    </w:lvl>
    <w:lvl w:ilvl="1" w:tplc="F9D648F8">
      <w:start w:val="1"/>
      <w:numFmt w:val="lowerLetter"/>
      <w:lvlText w:val="(%2)"/>
      <w:lvlJc w:val="left"/>
      <w:pPr>
        <w:ind w:left="2345" w:hanging="360"/>
      </w:pPr>
      <w:rPr>
        <w:rFonts w:hint="default"/>
        <w:b w:val="0"/>
      </w:rPr>
    </w:lvl>
    <w:lvl w:ilvl="2" w:tplc="100C001B" w:tentative="1">
      <w:start w:val="1"/>
      <w:numFmt w:val="lowerRoman"/>
      <w:lvlText w:val="%3."/>
      <w:lvlJc w:val="right"/>
      <w:pPr>
        <w:ind w:left="3974" w:hanging="180"/>
      </w:pPr>
    </w:lvl>
    <w:lvl w:ilvl="3" w:tplc="100C000F" w:tentative="1">
      <w:start w:val="1"/>
      <w:numFmt w:val="decimal"/>
      <w:lvlText w:val="%4."/>
      <w:lvlJc w:val="left"/>
      <w:pPr>
        <w:ind w:left="4694" w:hanging="360"/>
      </w:pPr>
    </w:lvl>
    <w:lvl w:ilvl="4" w:tplc="100C0019" w:tentative="1">
      <w:start w:val="1"/>
      <w:numFmt w:val="lowerLetter"/>
      <w:lvlText w:val="%5."/>
      <w:lvlJc w:val="left"/>
      <w:pPr>
        <w:ind w:left="5414" w:hanging="360"/>
      </w:pPr>
    </w:lvl>
    <w:lvl w:ilvl="5" w:tplc="100C001B" w:tentative="1">
      <w:start w:val="1"/>
      <w:numFmt w:val="lowerRoman"/>
      <w:lvlText w:val="%6."/>
      <w:lvlJc w:val="right"/>
      <w:pPr>
        <w:ind w:left="6134" w:hanging="180"/>
      </w:pPr>
    </w:lvl>
    <w:lvl w:ilvl="6" w:tplc="100C000F" w:tentative="1">
      <w:start w:val="1"/>
      <w:numFmt w:val="decimal"/>
      <w:lvlText w:val="%7."/>
      <w:lvlJc w:val="left"/>
      <w:pPr>
        <w:ind w:left="6854" w:hanging="360"/>
      </w:pPr>
    </w:lvl>
    <w:lvl w:ilvl="7" w:tplc="100C0019" w:tentative="1">
      <w:start w:val="1"/>
      <w:numFmt w:val="lowerLetter"/>
      <w:lvlText w:val="%8."/>
      <w:lvlJc w:val="left"/>
      <w:pPr>
        <w:ind w:left="7574" w:hanging="360"/>
      </w:pPr>
    </w:lvl>
    <w:lvl w:ilvl="8" w:tplc="100C001B" w:tentative="1">
      <w:start w:val="1"/>
      <w:numFmt w:val="lowerRoman"/>
      <w:lvlText w:val="%9."/>
      <w:lvlJc w:val="right"/>
      <w:pPr>
        <w:ind w:left="8294" w:hanging="180"/>
      </w:pPr>
    </w:lvl>
  </w:abstractNum>
  <w:abstractNum w:abstractNumId="2">
    <w:nsid w:val="171113A7"/>
    <w:multiLevelType w:val="multilevel"/>
    <w:tmpl w:val="48241D10"/>
    <w:numStyleLink w:val="Normallist"/>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34585C5F"/>
    <w:multiLevelType w:val="hybridMultilevel"/>
    <w:tmpl w:val="E5DA7FB6"/>
    <w:lvl w:ilvl="0" w:tplc="FFFFFFFF">
      <w:start w:val="1"/>
      <w:numFmt w:val="decimal"/>
      <w:lvlText w:val="%1."/>
      <w:lvlJc w:val="left"/>
      <w:pPr>
        <w:tabs>
          <w:tab w:val="num" w:pos="2654"/>
        </w:tabs>
        <w:ind w:left="2654" w:hanging="360"/>
      </w:pPr>
      <w:rPr>
        <w:rFonts w:hint="default"/>
      </w:rPr>
    </w:lvl>
    <w:lvl w:ilvl="1" w:tplc="FFFFFFFF">
      <w:start w:val="1"/>
      <w:numFmt w:val="lowerLetter"/>
      <w:lvlText w:val="%2."/>
      <w:lvlJc w:val="left"/>
      <w:pPr>
        <w:tabs>
          <w:tab w:val="num" w:pos="2654"/>
        </w:tabs>
        <w:ind w:left="2654" w:hanging="360"/>
      </w:pPr>
    </w:lvl>
    <w:lvl w:ilvl="2" w:tplc="FFFFFFFF">
      <w:start w:val="1"/>
      <w:numFmt w:val="lowerRoman"/>
      <w:lvlText w:val="%3."/>
      <w:lvlJc w:val="right"/>
      <w:pPr>
        <w:tabs>
          <w:tab w:val="num" w:pos="3374"/>
        </w:tabs>
        <w:ind w:left="3374" w:hanging="180"/>
      </w:pPr>
    </w:lvl>
    <w:lvl w:ilvl="3" w:tplc="FFFFFFFF">
      <w:start w:val="1"/>
      <w:numFmt w:val="decimal"/>
      <w:lvlText w:val="%4."/>
      <w:lvlJc w:val="left"/>
      <w:pPr>
        <w:tabs>
          <w:tab w:val="num" w:pos="4094"/>
        </w:tabs>
        <w:ind w:left="4094" w:hanging="360"/>
      </w:pPr>
    </w:lvl>
    <w:lvl w:ilvl="4" w:tplc="FFFFFFFF">
      <w:start w:val="1"/>
      <w:numFmt w:val="lowerLetter"/>
      <w:lvlText w:val="%5."/>
      <w:lvlJc w:val="left"/>
      <w:pPr>
        <w:tabs>
          <w:tab w:val="num" w:pos="4814"/>
        </w:tabs>
        <w:ind w:left="4814" w:hanging="360"/>
      </w:pPr>
    </w:lvl>
    <w:lvl w:ilvl="5" w:tplc="FFFFFFFF" w:tentative="1">
      <w:start w:val="1"/>
      <w:numFmt w:val="lowerRoman"/>
      <w:lvlText w:val="%6."/>
      <w:lvlJc w:val="right"/>
      <w:pPr>
        <w:tabs>
          <w:tab w:val="num" w:pos="5534"/>
        </w:tabs>
        <w:ind w:left="5534" w:hanging="180"/>
      </w:pPr>
    </w:lvl>
    <w:lvl w:ilvl="6" w:tplc="FFFFFFFF" w:tentative="1">
      <w:start w:val="1"/>
      <w:numFmt w:val="decimal"/>
      <w:lvlText w:val="%7."/>
      <w:lvlJc w:val="left"/>
      <w:pPr>
        <w:tabs>
          <w:tab w:val="num" w:pos="6254"/>
        </w:tabs>
        <w:ind w:left="6254" w:hanging="360"/>
      </w:pPr>
    </w:lvl>
    <w:lvl w:ilvl="7" w:tplc="FFFFFFFF" w:tentative="1">
      <w:start w:val="1"/>
      <w:numFmt w:val="lowerLetter"/>
      <w:lvlText w:val="%8."/>
      <w:lvlJc w:val="left"/>
      <w:pPr>
        <w:tabs>
          <w:tab w:val="num" w:pos="6974"/>
        </w:tabs>
        <w:ind w:left="6974" w:hanging="360"/>
      </w:pPr>
    </w:lvl>
    <w:lvl w:ilvl="8" w:tplc="FFFFFFFF" w:tentative="1">
      <w:start w:val="1"/>
      <w:numFmt w:val="lowerRoman"/>
      <w:lvlText w:val="%9."/>
      <w:lvlJc w:val="right"/>
      <w:pPr>
        <w:tabs>
          <w:tab w:val="num" w:pos="7694"/>
        </w:tabs>
        <w:ind w:left="7694"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7B3A32F9"/>
    <w:multiLevelType w:val="hybridMultilevel"/>
    <w:tmpl w:val="4BE29D6A"/>
    <w:lvl w:ilvl="0" w:tplc="F9D648F8">
      <w:start w:val="1"/>
      <w:numFmt w:val="lowerLetter"/>
      <w:lvlText w:val="(%1)"/>
      <w:lvlJc w:val="left"/>
      <w:pPr>
        <w:ind w:left="2345"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2"/>
    <w:lvlOverride w:ilvl="0">
      <w:lvl w:ilvl="0">
        <w:start w:val="1"/>
        <w:numFmt w:val="decimal"/>
        <w:pStyle w:val="Normalnumber"/>
        <w:lvlText w:val="%1."/>
        <w:lvlJc w:val="left"/>
        <w:pPr>
          <w:tabs>
            <w:tab w:val="num" w:pos="567"/>
          </w:tabs>
          <w:ind w:left="1247" w:firstLine="0"/>
        </w:pPr>
        <w:rPr>
          <w:rFonts w:hint="default"/>
          <w:b w:val="0"/>
          <w:bCs/>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4"/>
  </w:num>
  <w:num w:numId="8">
    <w:abstractNumId w:val="1"/>
  </w:num>
  <w:num w:numId="9">
    <w:abstractNumId w:val="7"/>
  </w:num>
  <w:num w:numId="10">
    <w:abstractNumId w:val="6"/>
    <w:lvlOverride w:ilvl="0">
      <w:lvl w:ilvl="0">
        <w:start w:val="1"/>
        <w:numFmt w:val="decimal"/>
        <w:pStyle w:val="Normalnumber"/>
        <w:lvlText w:val="%1."/>
        <w:lvlJc w:val="left"/>
        <w:pPr>
          <w:tabs>
            <w:tab w:val="num" w:pos="1134"/>
          </w:tabs>
          <w:ind w:left="1247" w:firstLine="0"/>
        </w:pPr>
        <w:rPr>
          <w:rFonts w:hint="default"/>
          <w:i w:val="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20"/>
  <w:displayHorizontalDrawingGridEvery w:val="2"/>
  <w:noPunctuationKerning/>
  <w:characterSpacingControl w:val="doNotCompress"/>
  <w:hdrShapeDefaults>
    <o:shapedefaults v:ext="edit" spidmax="10241"/>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0C"/>
    <w:rsid w:val="00001B67"/>
    <w:rsid w:val="00002DD1"/>
    <w:rsid w:val="00014BD3"/>
    <w:rsid w:val="00021A29"/>
    <w:rsid w:val="00024D28"/>
    <w:rsid w:val="00040612"/>
    <w:rsid w:val="00041C70"/>
    <w:rsid w:val="00041F96"/>
    <w:rsid w:val="000451D4"/>
    <w:rsid w:val="00046058"/>
    <w:rsid w:val="00047718"/>
    <w:rsid w:val="000552BC"/>
    <w:rsid w:val="00064992"/>
    <w:rsid w:val="00067C3D"/>
    <w:rsid w:val="000705B3"/>
    <w:rsid w:val="00071D6A"/>
    <w:rsid w:val="0007403C"/>
    <w:rsid w:val="00074AEB"/>
    <w:rsid w:val="00075F1C"/>
    <w:rsid w:val="00080D34"/>
    <w:rsid w:val="00090435"/>
    <w:rsid w:val="000937D5"/>
    <w:rsid w:val="00094793"/>
    <w:rsid w:val="000979F6"/>
    <w:rsid w:val="000A1151"/>
    <w:rsid w:val="000A2D6F"/>
    <w:rsid w:val="000B12FA"/>
    <w:rsid w:val="000B47B2"/>
    <w:rsid w:val="000B6B33"/>
    <w:rsid w:val="000C49AF"/>
    <w:rsid w:val="000E0CE5"/>
    <w:rsid w:val="000E3671"/>
    <w:rsid w:val="000F0171"/>
    <w:rsid w:val="000F5D1F"/>
    <w:rsid w:val="000F6F5F"/>
    <w:rsid w:val="000F70AF"/>
    <w:rsid w:val="00100BE6"/>
    <w:rsid w:val="00106532"/>
    <w:rsid w:val="00107187"/>
    <w:rsid w:val="0010770B"/>
    <w:rsid w:val="00111E09"/>
    <w:rsid w:val="00111F93"/>
    <w:rsid w:val="00115D56"/>
    <w:rsid w:val="00115F71"/>
    <w:rsid w:val="0011667D"/>
    <w:rsid w:val="0011764A"/>
    <w:rsid w:val="00117866"/>
    <w:rsid w:val="001208B5"/>
    <w:rsid w:val="00121276"/>
    <w:rsid w:val="001214E5"/>
    <w:rsid w:val="00121C65"/>
    <w:rsid w:val="0012249A"/>
    <w:rsid w:val="00126509"/>
    <w:rsid w:val="001276F8"/>
    <w:rsid w:val="00127B0A"/>
    <w:rsid w:val="00134FE5"/>
    <w:rsid w:val="0013743D"/>
    <w:rsid w:val="00141203"/>
    <w:rsid w:val="00141D42"/>
    <w:rsid w:val="0014237F"/>
    <w:rsid w:val="00146CF4"/>
    <w:rsid w:val="00147737"/>
    <w:rsid w:val="00151CA0"/>
    <w:rsid w:val="001525AD"/>
    <w:rsid w:val="00153DE0"/>
    <w:rsid w:val="0015544E"/>
    <w:rsid w:val="0015574A"/>
    <w:rsid w:val="00155D87"/>
    <w:rsid w:val="001600E4"/>
    <w:rsid w:val="001662B3"/>
    <w:rsid w:val="00171024"/>
    <w:rsid w:val="00177FD2"/>
    <w:rsid w:val="001817EE"/>
    <w:rsid w:val="0018198D"/>
    <w:rsid w:val="00184C59"/>
    <w:rsid w:val="00190208"/>
    <w:rsid w:val="00191B8E"/>
    <w:rsid w:val="00192AB2"/>
    <w:rsid w:val="00195708"/>
    <w:rsid w:val="001A055E"/>
    <w:rsid w:val="001A06BC"/>
    <w:rsid w:val="001A33DE"/>
    <w:rsid w:val="001A33E8"/>
    <w:rsid w:val="001A6BC1"/>
    <w:rsid w:val="001A7F77"/>
    <w:rsid w:val="001B1B17"/>
    <w:rsid w:val="001C0C8B"/>
    <w:rsid w:val="001C2043"/>
    <w:rsid w:val="001C294C"/>
    <w:rsid w:val="001C2A95"/>
    <w:rsid w:val="001C41DE"/>
    <w:rsid w:val="001C6054"/>
    <w:rsid w:val="001C6F70"/>
    <w:rsid w:val="001D3353"/>
    <w:rsid w:val="001D6BA5"/>
    <w:rsid w:val="001D6E02"/>
    <w:rsid w:val="001E1D94"/>
    <w:rsid w:val="001E264B"/>
    <w:rsid w:val="001E3543"/>
    <w:rsid w:val="001F0666"/>
    <w:rsid w:val="001F1BD9"/>
    <w:rsid w:val="001F3578"/>
    <w:rsid w:val="002111E7"/>
    <w:rsid w:val="00211697"/>
    <w:rsid w:val="002165A2"/>
    <w:rsid w:val="00233D29"/>
    <w:rsid w:val="00235FE4"/>
    <w:rsid w:val="00236943"/>
    <w:rsid w:val="00240C11"/>
    <w:rsid w:val="00241D19"/>
    <w:rsid w:val="002456AB"/>
    <w:rsid w:val="002507B1"/>
    <w:rsid w:val="00250D98"/>
    <w:rsid w:val="00253C8B"/>
    <w:rsid w:val="00253FA7"/>
    <w:rsid w:val="002555C3"/>
    <w:rsid w:val="002567C2"/>
    <w:rsid w:val="00257234"/>
    <w:rsid w:val="00264DD0"/>
    <w:rsid w:val="00265771"/>
    <w:rsid w:val="0026610F"/>
    <w:rsid w:val="00267C83"/>
    <w:rsid w:val="002726DE"/>
    <w:rsid w:val="002740A4"/>
    <w:rsid w:val="00294332"/>
    <w:rsid w:val="0029434D"/>
    <w:rsid w:val="00297BD9"/>
    <w:rsid w:val="002A26B1"/>
    <w:rsid w:val="002A3E86"/>
    <w:rsid w:val="002A46CE"/>
    <w:rsid w:val="002A5ECC"/>
    <w:rsid w:val="002A5F3F"/>
    <w:rsid w:val="002A62AA"/>
    <w:rsid w:val="002B019C"/>
    <w:rsid w:val="002B5B90"/>
    <w:rsid w:val="002B799F"/>
    <w:rsid w:val="002C1A58"/>
    <w:rsid w:val="002C4F87"/>
    <w:rsid w:val="002D209F"/>
    <w:rsid w:val="002D221B"/>
    <w:rsid w:val="002D3243"/>
    <w:rsid w:val="002D3599"/>
    <w:rsid w:val="002E0E6A"/>
    <w:rsid w:val="002E4032"/>
    <w:rsid w:val="002E56B6"/>
    <w:rsid w:val="002E7865"/>
    <w:rsid w:val="002E7F42"/>
    <w:rsid w:val="002F015F"/>
    <w:rsid w:val="002F2BEB"/>
    <w:rsid w:val="002F4FDD"/>
    <w:rsid w:val="002F6B25"/>
    <w:rsid w:val="00302951"/>
    <w:rsid w:val="0030396D"/>
    <w:rsid w:val="00303B0B"/>
    <w:rsid w:val="00304418"/>
    <w:rsid w:val="00310B02"/>
    <w:rsid w:val="003137C5"/>
    <w:rsid w:val="003143EE"/>
    <w:rsid w:val="00317BCA"/>
    <w:rsid w:val="00326566"/>
    <w:rsid w:val="00330212"/>
    <w:rsid w:val="00331EF0"/>
    <w:rsid w:val="003359FD"/>
    <w:rsid w:val="00336676"/>
    <w:rsid w:val="00336C4B"/>
    <w:rsid w:val="00336DD5"/>
    <w:rsid w:val="00337844"/>
    <w:rsid w:val="00342C90"/>
    <w:rsid w:val="003546AB"/>
    <w:rsid w:val="00355AEB"/>
    <w:rsid w:val="0035679B"/>
    <w:rsid w:val="00357B11"/>
    <w:rsid w:val="00367075"/>
    <w:rsid w:val="00367AF1"/>
    <w:rsid w:val="0037000D"/>
    <w:rsid w:val="00374C90"/>
    <w:rsid w:val="00375EBA"/>
    <w:rsid w:val="003764BC"/>
    <w:rsid w:val="00380854"/>
    <w:rsid w:val="003849F1"/>
    <w:rsid w:val="00385AFB"/>
    <w:rsid w:val="003868B3"/>
    <w:rsid w:val="0039083C"/>
    <w:rsid w:val="00393E69"/>
    <w:rsid w:val="00395CE0"/>
    <w:rsid w:val="00397572"/>
    <w:rsid w:val="0039772D"/>
    <w:rsid w:val="00397B42"/>
    <w:rsid w:val="003A1763"/>
    <w:rsid w:val="003A42CE"/>
    <w:rsid w:val="003A4B1D"/>
    <w:rsid w:val="003B0256"/>
    <w:rsid w:val="003B40DB"/>
    <w:rsid w:val="003B5932"/>
    <w:rsid w:val="003B64CE"/>
    <w:rsid w:val="003D09AA"/>
    <w:rsid w:val="003D40D2"/>
    <w:rsid w:val="003D4F6F"/>
    <w:rsid w:val="003D6542"/>
    <w:rsid w:val="003D65A8"/>
    <w:rsid w:val="003E09BA"/>
    <w:rsid w:val="003F3A47"/>
    <w:rsid w:val="004035E4"/>
    <w:rsid w:val="0040699E"/>
    <w:rsid w:val="004101E4"/>
    <w:rsid w:val="00410DE0"/>
    <w:rsid w:val="004175B2"/>
    <w:rsid w:val="00423F14"/>
    <w:rsid w:val="00424BFD"/>
    <w:rsid w:val="00424D75"/>
    <w:rsid w:val="00425DD8"/>
    <w:rsid w:val="00426FBE"/>
    <w:rsid w:val="00427896"/>
    <w:rsid w:val="004320F7"/>
    <w:rsid w:val="00433D56"/>
    <w:rsid w:val="00434BD3"/>
    <w:rsid w:val="00437987"/>
    <w:rsid w:val="004449A0"/>
    <w:rsid w:val="004507C2"/>
    <w:rsid w:val="00457A9D"/>
    <w:rsid w:val="00476869"/>
    <w:rsid w:val="004808BC"/>
    <w:rsid w:val="0048389D"/>
    <w:rsid w:val="00485FF7"/>
    <w:rsid w:val="00490E90"/>
    <w:rsid w:val="004913A4"/>
    <w:rsid w:val="00496CD5"/>
    <w:rsid w:val="004972DA"/>
    <w:rsid w:val="004A0B77"/>
    <w:rsid w:val="004B175F"/>
    <w:rsid w:val="004B3552"/>
    <w:rsid w:val="004C3E08"/>
    <w:rsid w:val="004C40DD"/>
    <w:rsid w:val="004C7C58"/>
    <w:rsid w:val="004D5029"/>
    <w:rsid w:val="004D56FE"/>
    <w:rsid w:val="004D5A9F"/>
    <w:rsid w:val="004D5E61"/>
    <w:rsid w:val="004D5F5C"/>
    <w:rsid w:val="004D6957"/>
    <w:rsid w:val="004E0258"/>
    <w:rsid w:val="004E1EA1"/>
    <w:rsid w:val="004E40FA"/>
    <w:rsid w:val="004F0551"/>
    <w:rsid w:val="004F2333"/>
    <w:rsid w:val="004F25F2"/>
    <w:rsid w:val="00501EEF"/>
    <w:rsid w:val="00506AAA"/>
    <w:rsid w:val="005075D3"/>
    <w:rsid w:val="005075FB"/>
    <w:rsid w:val="00510B3C"/>
    <w:rsid w:val="00514E57"/>
    <w:rsid w:val="005151FE"/>
    <w:rsid w:val="005164DD"/>
    <w:rsid w:val="00521ECE"/>
    <w:rsid w:val="00525668"/>
    <w:rsid w:val="00531AE6"/>
    <w:rsid w:val="00535CFB"/>
    <w:rsid w:val="0053729A"/>
    <w:rsid w:val="00540A2C"/>
    <w:rsid w:val="00541D02"/>
    <w:rsid w:val="00542C1B"/>
    <w:rsid w:val="00544B86"/>
    <w:rsid w:val="00545B86"/>
    <w:rsid w:val="0054790C"/>
    <w:rsid w:val="0055569E"/>
    <w:rsid w:val="00555925"/>
    <w:rsid w:val="00556952"/>
    <w:rsid w:val="00560464"/>
    <w:rsid w:val="00566E56"/>
    <w:rsid w:val="00570820"/>
    <w:rsid w:val="00570CAA"/>
    <w:rsid w:val="00570D2F"/>
    <w:rsid w:val="0057442C"/>
    <w:rsid w:val="005856EE"/>
    <w:rsid w:val="00585BD3"/>
    <w:rsid w:val="00587DD4"/>
    <w:rsid w:val="005A17D6"/>
    <w:rsid w:val="005B023E"/>
    <w:rsid w:val="005B02DF"/>
    <w:rsid w:val="005B2A1C"/>
    <w:rsid w:val="005C0614"/>
    <w:rsid w:val="005C2294"/>
    <w:rsid w:val="005C3FBA"/>
    <w:rsid w:val="005C5ACF"/>
    <w:rsid w:val="005C5B2E"/>
    <w:rsid w:val="005D7EA6"/>
    <w:rsid w:val="005E042A"/>
    <w:rsid w:val="005E2E74"/>
    <w:rsid w:val="005E715B"/>
    <w:rsid w:val="005E78F4"/>
    <w:rsid w:val="005F018A"/>
    <w:rsid w:val="0060004C"/>
    <w:rsid w:val="0060006C"/>
    <w:rsid w:val="00600F8B"/>
    <w:rsid w:val="00602D78"/>
    <w:rsid w:val="00604CE6"/>
    <w:rsid w:val="00606BDF"/>
    <w:rsid w:val="00607819"/>
    <w:rsid w:val="0061267D"/>
    <w:rsid w:val="006126EC"/>
    <w:rsid w:val="00621C26"/>
    <w:rsid w:val="0062733A"/>
    <w:rsid w:val="0063226F"/>
    <w:rsid w:val="0063273E"/>
    <w:rsid w:val="00634F8F"/>
    <w:rsid w:val="006417B4"/>
    <w:rsid w:val="00642199"/>
    <w:rsid w:val="00642C77"/>
    <w:rsid w:val="006431AE"/>
    <w:rsid w:val="00643246"/>
    <w:rsid w:val="0064392B"/>
    <w:rsid w:val="006627BD"/>
    <w:rsid w:val="006630EC"/>
    <w:rsid w:val="0066328E"/>
    <w:rsid w:val="00670BC5"/>
    <w:rsid w:val="00672C6A"/>
    <w:rsid w:val="00675F97"/>
    <w:rsid w:val="00676969"/>
    <w:rsid w:val="0067727D"/>
    <w:rsid w:val="00680B4E"/>
    <w:rsid w:val="006810B5"/>
    <w:rsid w:val="00681E1A"/>
    <w:rsid w:val="006856B7"/>
    <w:rsid w:val="00685D9F"/>
    <w:rsid w:val="006B1A38"/>
    <w:rsid w:val="006B40CB"/>
    <w:rsid w:val="006B60DD"/>
    <w:rsid w:val="006C0D5E"/>
    <w:rsid w:val="006C4B09"/>
    <w:rsid w:val="006C4E92"/>
    <w:rsid w:val="006C6DA9"/>
    <w:rsid w:val="006C7429"/>
    <w:rsid w:val="006C75B1"/>
    <w:rsid w:val="006D0CB6"/>
    <w:rsid w:val="006D2CF0"/>
    <w:rsid w:val="006D4779"/>
    <w:rsid w:val="006D4DFB"/>
    <w:rsid w:val="006D7FFE"/>
    <w:rsid w:val="006E023C"/>
    <w:rsid w:val="006E14DD"/>
    <w:rsid w:val="006E1A1A"/>
    <w:rsid w:val="006E1F51"/>
    <w:rsid w:val="006E37C6"/>
    <w:rsid w:val="006E443D"/>
    <w:rsid w:val="006F0480"/>
    <w:rsid w:val="006F29D5"/>
    <w:rsid w:val="006F5E50"/>
    <w:rsid w:val="006F6F20"/>
    <w:rsid w:val="00706DD1"/>
    <w:rsid w:val="0070706F"/>
    <w:rsid w:val="00711543"/>
    <w:rsid w:val="007138AB"/>
    <w:rsid w:val="00717D71"/>
    <w:rsid w:val="00720CE8"/>
    <w:rsid w:val="00726621"/>
    <w:rsid w:val="00726C2D"/>
    <w:rsid w:val="00735639"/>
    <w:rsid w:val="007417BE"/>
    <w:rsid w:val="00743744"/>
    <w:rsid w:val="007458A7"/>
    <w:rsid w:val="0074760A"/>
    <w:rsid w:val="00750ABD"/>
    <w:rsid w:val="00754B52"/>
    <w:rsid w:val="00756C86"/>
    <w:rsid w:val="00762A29"/>
    <w:rsid w:val="00762FF3"/>
    <w:rsid w:val="0076324A"/>
    <w:rsid w:val="0076338A"/>
    <w:rsid w:val="00764F7A"/>
    <w:rsid w:val="00767330"/>
    <w:rsid w:val="0077485E"/>
    <w:rsid w:val="007763EF"/>
    <w:rsid w:val="0078405C"/>
    <w:rsid w:val="007860CE"/>
    <w:rsid w:val="00790363"/>
    <w:rsid w:val="00796471"/>
    <w:rsid w:val="007A0E32"/>
    <w:rsid w:val="007A6D3A"/>
    <w:rsid w:val="007B1BD7"/>
    <w:rsid w:val="007B32F4"/>
    <w:rsid w:val="007C10C9"/>
    <w:rsid w:val="007C4A86"/>
    <w:rsid w:val="007C4D0E"/>
    <w:rsid w:val="007D1B60"/>
    <w:rsid w:val="007D27CB"/>
    <w:rsid w:val="007D29AE"/>
    <w:rsid w:val="007D622E"/>
    <w:rsid w:val="007E0177"/>
    <w:rsid w:val="007E1274"/>
    <w:rsid w:val="007E35E3"/>
    <w:rsid w:val="007F29EF"/>
    <w:rsid w:val="007F330F"/>
    <w:rsid w:val="007F6085"/>
    <w:rsid w:val="007F64F7"/>
    <w:rsid w:val="007F7147"/>
    <w:rsid w:val="008219AC"/>
    <w:rsid w:val="0082306D"/>
    <w:rsid w:val="00827766"/>
    <w:rsid w:val="0083034A"/>
    <w:rsid w:val="008310DC"/>
    <w:rsid w:val="00832391"/>
    <w:rsid w:val="00835568"/>
    <w:rsid w:val="00841CC7"/>
    <w:rsid w:val="00845187"/>
    <w:rsid w:val="00854176"/>
    <w:rsid w:val="008547D6"/>
    <w:rsid w:val="0085545B"/>
    <w:rsid w:val="00857655"/>
    <w:rsid w:val="0086719F"/>
    <w:rsid w:val="008705CA"/>
    <w:rsid w:val="00872529"/>
    <w:rsid w:val="008725E2"/>
    <w:rsid w:val="00874D8B"/>
    <w:rsid w:val="00876641"/>
    <w:rsid w:val="00876AC3"/>
    <w:rsid w:val="008816BA"/>
    <w:rsid w:val="008865F5"/>
    <w:rsid w:val="008944A0"/>
    <w:rsid w:val="008964BB"/>
    <w:rsid w:val="00897494"/>
    <w:rsid w:val="008A031B"/>
    <w:rsid w:val="008A40B2"/>
    <w:rsid w:val="008A4E5C"/>
    <w:rsid w:val="008A7E1D"/>
    <w:rsid w:val="008B1D78"/>
    <w:rsid w:val="008B2455"/>
    <w:rsid w:val="008B517C"/>
    <w:rsid w:val="008B6452"/>
    <w:rsid w:val="008B6DAD"/>
    <w:rsid w:val="008B7992"/>
    <w:rsid w:val="008C26D9"/>
    <w:rsid w:val="008C481C"/>
    <w:rsid w:val="008C50DE"/>
    <w:rsid w:val="008C6964"/>
    <w:rsid w:val="008D0362"/>
    <w:rsid w:val="008D1007"/>
    <w:rsid w:val="008D14AF"/>
    <w:rsid w:val="008D40C1"/>
    <w:rsid w:val="008E0838"/>
    <w:rsid w:val="008E1C39"/>
    <w:rsid w:val="008E2388"/>
    <w:rsid w:val="008E5756"/>
    <w:rsid w:val="008E6F81"/>
    <w:rsid w:val="008F2552"/>
    <w:rsid w:val="008F7E64"/>
    <w:rsid w:val="00904CE8"/>
    <w:rsid w:val="009116E9"/>
    <w:rsid w:val="0091259F"/>
    <w:rsid w:val="009137B5"/>
    <w:rsid w:val="00914E57"/>
    <w:rsid w:val="00920481"/>
    <w:rsid w:val="00921F3B"/>
    <w:rsid w:val="0092285B"/>
    <w:rsid w:val="00923313"/>
    <w:rsid w:val="00924F12"/>
    <w:rsid w:val="00933B8B"/>
    <w:rsid w:val="00934126"/>
    <w:rsid w:val="00935390"/>
    <w:rsid w:val="00946262"/>
    <w:rsid w:val="0096332C"/>
    <w:rsid w:val="00963F17"/>
    <w:rsid w:val="00964164"/>
    <w:rsid w:val="00965CC5"/>
    <w:rsid w:val="00966E77"/>
    <w:rsid w:val="00970C82"/>
    <w:rsid w:val="00980762"/>
    <w:rsid w:val="00984D34"/>
    <w:rsid w:val="00991DE4"/>
    <w:rsid w:val="00992E10"/>
    <w:rsid w:val="009946EC"/>
    <w:rsid w:val="0099548A"/>
    <w:rsid w:val="00997FF4"/>
    <w:rsid w:val="009A2306"/>
    <w:rsid w:val="009A486C"/>
    <w:rsid w:val="009A6D41"/>
    <w:rsid w:val="009B4903"/>
    <w:rsid w:val="009B7632"/>
    <w:rsid w:val="009B7C79"/>
    <w:rsid w:val="009B7FF5"/>
    <w:rsid w:val="009C35C8"/>
    <w:rsid w:val="009C395F"/>
    <w:rsid w:val="009C4332"/>
    <w:rsid w:val="009C4E63"/>
    <w:rsid w:val="009C5382"/>
    <w:rsid w:val="009D0466"/>
    <w:rsid w:val="009D0E42"/>
    <w:rsid w:val="009D32CE"/>
    <w:rsid w:val="009D4487"/>
    <w:rsid w:val="009D56DA"/>
    <w:rsid w:val="009D74AE"/>
    <w:rsid w:val="009E07F3"/>
    <w:rsid w:val="009E11B8"/>
    <w:rsid w:val="009E1CF8"/>
    <w:rsid w:val="009F3A25"/>
    <w:rsid w:val="009F6DB6"/>
    <w:rsid w:val="009F7E7C"/>
    <w:rsid w:val="00A0251A"/>
    <w:rsid w:val="00A134FC"/>
    <w:rsid w:val="00A13780"/>
    <w:rsid w:val="00A13A25"/>
    <w:rsid w:val="00A13E77"/>
    <w:rsid w:val="00A14A76"/>
    <w:rsid w:val="00A27B2E"/>
    <w:rsid w:val="00A31852"/>
    <w:rsid w:val="00A3243B"/>
    <w:rsid w:val="00A34175"/>
    <w:rsid w:val="00A353C7"/>
    <w:rsid w:val="00A37295"/>
    <w:rsid w:val="00A41120"/>
    <w:rsid w:val="00A42448"/>
    <w:rsid w:val="00A47DF0"/>
    <w:rsid w:val="00A5176A"/>
    <w:rsid w:val="00A525DE"/>
    <w:rsid w:val="00A544B2"/>
    <w:rsid w:val="00A54A66"/>
    <w:rsid w:val="00A608DD"/>
    <w:rsid w:val="00A60A27"/>
    <w:rsid w:val="00A613FC"/>
    <w:rsid w:val="00A623CC"/>
    <w:rsid w:val="00A65A5A"/>
    <w:rsid w:val="00A72E62"/>
    <w:rsid w:val="00A72F38"/>
    <w:rsid w:val="00A81549"/>
    <w:rsid w:val="00A81738"/>
    <w:rsid w:val="00A819F0"/>
    <w:rsid w:val="00A85A5C"/>
    <w:rsid w:val="00A86CAA"/>
    <w:rsid w:val="00A87139"/>
    <w:rsid w:val="00A900AD"/>
    <w:rsid w:val="00A90645"/>
    <w:rsid w:val="00A91B21"/>
    <w:rsid w:val="00A92424"/>
    <w:rsid w:val="00A92F89"/>
    <w:rsid w:val="00A93BBF"/>
    <w:rsid w:val="00A94A6C"/>
    <w:rsid w:val="00A964BC"/>
    <w:rsid w:val="00A9663C"/>
    <w:rsid w:val="00AA312D"/>
    <w:rsid w:val="00AA51F6"/>
    <w:rsid w:val="00AA6D7A"/>
    <w:rsid w:val="00AA7594"/>
    <w:rsid w:val="00AB2121"/>
    <w:rsid w:val="00AB2C28"/>
    <w:rsid w:val="00AC020C"/>
    <w:rsid w:val="00AC1A3F"/>
    <w:rsid w:val="00AD0AB0"/>
    <w:rsid w:val="00AD4FAA"/>
    <w:rsid w:val="00AD50D1"/>
    <w:rsid w:val="00AD5757"/>
    <w:rsid w:val="00AD64A7"/>
    <w:rsid w:val="00AD6FD1"/>
    <w:rsid w:val="00AD79F0"/>
    <w:rsid w:val="00AD7DB8"/>
    <w:rsid w:val="00AE4E09"/>
    <w:rsid w:val="00AF1A0D"/>
    <w:rsid w:val="00AF3C55"/>
    <w:rsid w:val="00AF62FC"/>
    <w:rsid w:val="00B01AF3"/>
    <w:rsid w:val="00B02634"/>
    <w:rsid w:val="00B06C9E"/>
    <w:rsid w:val="00B20C63"/>
    <w:rsid w:val="00B22A2D"/>
    <w:rsid w:val="00B24B51"/>
    <w:rsid w:val="00B2669F"/>
    <w:rsid w:val="00B3327E"/>
    <w:rsid w:val="00B37071"/>
    <w:rsid w:val="00B51C03"/>
    <w:rsid w:val="00B51F46"/>
    <w:rsid w:val="00B5579B"/>
    <w:rsid w:val="00B569FE"/>
    <w:rsid w:val="00B572F5"/>
    <w:rsid w:val="00B57D0C"/>
    <w:rsid w:val="00B62E7D"/>
    <w:rsid w:val="00B6574E"/>
    <w:rsid w:val="00B67F6C"/>
    <w:rsid w:val="00B721BC"/>
    <w:rsid w:val="00B72A1B"/>
    <w:rsid w:val="00B77C29"/>
    <w:rsid w:val="00B80184"/>
    <w:rsid w:val="00B80835"/>
    <w:rsid w:val="00B81254"/>
    <w:rsid w:val="00B826B6"/>
    <w:rsid w:val="00B85C1A"/>
    <w:rsid w:val="00B86878"/>
    <w:rsid w:val="00B9622F"/>
    <w:rsid w:val="00B979F2"/>
    <w:rsid w:val="00BA02BF"/>
    <w:rsid w:val="00BA340B"/>
    <w:rsid w:val="00BA3AD1"/>
    <w:rsid w:val="00BA77CD"/>
    <w:rsid w:val="00BB6F27"/>
    <w:rsid w:val="00BC0E8F"/>
    <w:rsid w:val="00BC2317"/>
    <w:rsid w:val="00BC5546"/>
    <w:rsid w:val="00BC5F88"/>
    <w:rsid w:val="00BC769C"/>
    <w:rsid w:val="00BC7C97"/>
    <w:rsid w:val="00BD1C58"/>
    <w:rsid w:val="00BD3576"/>
    <w:rsid w:val="00BD3C86"/>
    <w:rsid w:val="00BD411A"/>
    <w:rsid w:val="00BD650A"/>
    <w:rsid w:val="00BE3DED"/>
    <w:rsid w:val="00BE5062"/>
    <w:rsid w:val="00BE5FD6"/>
    <w:rsid w:val="00BE6352"/>
    <w:rsid w:val="00BE7638"/>
    <w:rsid w:val="00BF0740"/>
    <w:rsid w:val="00BF1F83"/>
    <w:rsid w:val="00BF2B97"/>
    <w:rsid w:val="00BF4352"/>
    <w:rsid w:val="00BF48E0"/>
    <w:rsid w:val="00BF49DE"/>
    <w:rsid w:val="00BF5E23"/>
    <w:rsid w:val="00BF61F3"/>
    <w:rsid w:val="00C033A5"/>
    <w:rsid w:val="00C06FF7"/>
    <w:rsid w:val="00C07BFC"/>
    <w:rsid w:val="00C17B43"/>
    <w:rsid w:val="00C17F1B"/>
    <w:rsid w:val="00C242F3"/>
    <w:rsid w:val="00C248AA"/>
    <w:rsid w:val="00C258CF"/>
    <w:rsid w:val="00C30892"/>
    <w:rsid w:val="00C4199E"/>
    <w:rsid w:val="00C44CDF"/>
    <w:rsid w:val="00C46D37"/>
    <w:rsid w:val="00C508DF"/>
    <w:rsid w:val="00C50F95"/>
    <w:rsid w:val="00C52CEC"/>
    <w:rsid w:val="00C52F52"/>
    <w:rsid w:val="00C53811"/>
    <w:rsid w:val="00C53E85"/>
    <w:rsid w:val="00C6035B"/>
    <w:rsid w:val="00C61CA1"/>
    <w:rsid w:val="00C72DF1"/>
    <w:rsid w:val="00C74D74"/>
    <w:rsid w:val="00C7654E"/>
    <w:rsid w:val="00C77733"/>
    <w:rsid w:val="00C860C0"/>
    <w:rsid w:val="00C86261"/>
    <w:rsid w:val="00C87E77"/>
    <w:rsid w:val="00C92EFB"/>
    <w:rsid w:val="00CA0B5B"/>
    <w:rsid w:val="00CA3023"/>
    <w:rsid w:val="00CA30FA"/>
    <w:rsid w:val="00CA368D"/>
    <w:rsid w:val="00CA673C"/>
    <w:rsid w:val="00CA6BE0"/>
    <w:rsid w:val="00CB0D80"/>
    <w:rsid w:val="00CB2820"/>
    <w:rsid w:val="00CB51E5"/>
    <w:rsid w:val="00CB549D"/>
    <w:rsid w:val="00CB740F"/>
    <w:rsid w:val="00CC035D"/>
    <w:rsid w:val="00CC3983"/>
    <w:rsid w:val="00CC4C5D"/>
    <w:rsid w:val="00CD2FD7"/>
    <w:rsid w:val="00CD374C"/>
    <w:rsid w:val="00CD7784"/>
    <w:rsid w:val="00CD7A4C"/>
    <w:rsid w:val="00CE0778"/>
    <w:rsid w:val="00CE0EFC"/>
    <w:rsid w:val="00CE3901"/>
    <w:rsid w:val="00CE5235"/>
    <w:rsid w:val="00CE5851"/>
    <w:rsid w:val="00CE7F7E"/>
    <w:rsid w:val="00CF43CB"/>
    <w:rsid w:val="00D00F2E"/>
    <w:rsid w:val="00D015D1"/>
    <w:rsid w:val="00D01FF9"/>
    <w:rsid w:val="00D104D6"/>
    <w:rsid w:val="00D1455A"/>
    <w:rsid w:val="00D17268"/>
    <w:rsid w:val="00D2053C"/>
    <w:rsid w:val="00D21677"/>
    <w:rsid w:val="00D21EAA"/>
    <w:rsid w:val="00D24DA4"/>
    <w:rsid w:val="00D257E4"/>
    <w:rsid w:val="00D3045C"/>
    <w:rsid w:val="00D326E0"/>
    <w:rsid w:val="00D32A51"/>
    <w:rsid w:val="00D348D3"/>
    <w:rsid w:val="00D35776"/>
    <w:rsid w:val="00D37130"/>
    <w:rsid w:val="00D3736B"/>
    <w:rsid w:val="00D41EAA"/>
    <w:rsid w:val="00D504D7"/>
    <w:rsid w:val="00D53DEE"/>
    <w:rsid w:val="00D54DEE"/>
    <w:rsid w:val="00D57FA8"/>
    <w:rsid w:val="00D607E0"/>
    <w:rsid w:val="00D639E8"/>
    <w:rsid w:val="00D7283F"/>
    <w:rsid w:val="00D72A8B"/>
    <w:rsid w:val="00D75E27"/>
    <w:rsid w:val="00D80813"/>
    <w:rsid w:val="00D81841"/>
    <w:rsid w:val="00D81F16"/>
    <w:rsid w:val="00D82786"/>
    <w:rsid w:val="00D83800"/>
    <w:rsid w:val="00D83BFF"/>
    <w:rsid w:val="00D8572A"/>
    <w:rsid w:val="00D921F0"/>
    <w:rsid w:val="00D92FB2"/>
    <w:rsid w:val="00D93635"/>
    <w:rsid w:val="00DA1EB5"/>
    <w:rsid w:val="00DA26F7"/>
    <w:rsid w:val="00DA4DB2"/>
    <w:rsid w:val="00DA538D"/>
    <w:rsid w:val="00DA5649"/>
    <w:rsid w:val="00DA6700"/>
    <w:rsid w:val="00DB0A6B"/>
    <w:rsid w:val="00DB1098"/>
    <w:rsid w:val="00DB296A"/>
    <w:rsid w:val="00DB4393"/>
    <w:rsid w:val="00DB48EA"/>
    <w:rsid w:val="00DB5542"/>
    <w:rsid w:val="00DC214A"/>
    <w:rsid w:val="00DC5492"/>
    <w:rsid w:val="00DD17A5"/>
    <w:rsid w:val="00DD5E14"/>
    <w:rsid w:val="00DD6127"/>
    <w:rsid w:val="00DE0F18"/>
    <w:rsid w:val="00DE15A4"/>
    <w:rsid w:val="00DE40DD"/>
    <w:rsid w:val="00DE6568"/>
    <w:rsid w:val="00DF0C51"/>
    <w:rsid w:val="00DF2510"/>
    <w:rsid w:val="00DF49E2"/>
    <w:rsid w:val="00DF5B3E"/>
    <w:rsid w:val="00DF7C0F"/>
    <w:rsid w:val="00E01D55"/>
    <w:rsid w:val="00E02ECF"/>
    <w:rsid w:val="00E22E00"/>
    <w:rsid w:val="00E24028"/>
    <w:rsid w:val="00E24AEB"/>
    <w:rsid w:val="00E3559D"/>
    <w:rsid w:val="00E35E38"/>
    <w:rsid w:val="00E41354"/>
    <w:rsid w:val="00E43A97"/>
    <w:rsid w:val="00E44188"/>
    <w:rsid w:val="00E45327"/>
    <w:rsid w:val="00E510AF"/>
    <w:rsid w:val="00E5143B"/>
    <w:rsid w:val="00E5326A"/>
    <w:rsid w:val="00E57836"/>
    <w:rsid w:val="00E578C6"/>
    <w:rsid w:val="00E60B12"/>
    <w:rsid w:val="00E646B1"/>
    <w:rsid w:val="00E65AD1"/>
    <w:rsid w:val="00E65CA4"/>
    <w:rsid w:val="00E67EA3"/>
    <w:rsid w:val="00E70C2C"/>
    <w:rsid w:val="00E70CB6"/>
    <w:rsid w:val="00E71236"/>
    <w:rsid w:val="00E72331"/>
    <w:rsid w:val="00E768B9"/>
    <w:rsid w:val="00E7701B"/>
    <w:rsid w:val="00E80105"/>
    <w:rsid w:val="00E82BEA"/>
    <w:rsid w:val="00E875AC"/>
    <w:rsid w:val="00E93921"/>
    <w:rsid w:val="00E939E7"/>
    <w:rsid w:val="00E96C04"/>
    <w:rsid w:val="00EA5643"/>
    <w:rsid w:val="00EB07AB"/>
    <w:rsid w:val="00EC0299"/>
    <w:rsid w:val="00EC52B0"/>
    <w:rsid w:val="00ED2C4B"/>
    <w:rsid w:val="00ED3AA3"/>
    <w:rsid w:val="00ED6F1C"/>
    <w:rsid w:val="00EE7375"/>
    <w:rsid w:val="00EF1400"/>
    <w:rsid w:val="00EF20D2"/>
    <w:rsid w:val="00F002C3"/>
    <w:rsid w:val="00F00FE1"/>
    <w:rsid w:val="00F01315"/>
    <w:rsid w:val="00F05E9F"/>
    <w:rsid w:val="00F06AA1"/>
    <w:rsid w:val="00F07184"/>
    <w:rsid w:val="00F07D96"/>
    <w:rsid w:val="00F10882"/>
    <w:rsid w:val="00F1371A"/>
    <w:rsid w:val="00F15372"/>
    <w:rsid w:val="00F20A64"/>
    <w:rsid w:val="00F21B23"/>
    <w:rsid w:val="00F260ED"/>
    <w:rsid w:val="00F27334"/>
    <w:rsid w:val="00F2789A"/>
    <w:rsid w:val="00F303B7"/>
    <w:rsid w:val="00F34867"/>
    <w:rsid w:val="00F40536"/>
    <w:rsid w:val="00F431DD"/>
    <w:rsid w:val="00F4390B"/>
    <w:rsid w:val="00F45C8F"/>
    <w:rsid w:val="00F5162E"/>
    <w:rsid w:val="00F51DEF"/>
    <w:rsid w:val="00F545AA"/>
    <w:rsid w:val="00F57CA7"/>
    <w:rsid w:val="00F63ABF"/>
    <w:rsid w:val="00F70A85"/>
    <w:rsid w:val="00F71002"/>
    <w:rsid w:val="00F82F59"/>
    <w:rsid w:val="00F83E57"/>
    <w:rsid w:val="00F84C17"/>
    <w:rsid w:val="00F877A9"/>
    <w:rsid w:val="00F90104"/>
    <w:rsid w:val="00F918D3"/>
    <w:rsid w:val="00F9235E"/>
    <w:rsid w:val="00F96150"/>
    <w:rsid w:val="00F96869"/>
    <w:rsid w:val="00FA0445"/>
    <w:rsid w:val="00FA5FCB"/>
    <w:rsid w:val="00FB50C3"/>
    <w:rsid w:val="00FB61DB"/>
    <w:rsid w:val="00FC7A95"/>
    <w:rsid w:val="00FC7BAC"/>
    <w:rsid w:val="00FD298C"/>
    <w:rsid w:val="00FD74B9"/>
    <w:rsid w:val="00FE5898"/>
    <w:rsid w:val="00FF13CD"/>
    <w:rsid w:val="00FF7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288"/>
    <w:rPr>
      <w:sz w:val="24"/>
      <w:lang w:eastAsia="en-US" w:bidi="ar-SA"/>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B3327E"/>
    <w:pPr>
      <w:spacing w:after="120"/>
    </w:pPr>
    <w:rPr>
      <w:b/>
      <w:sz w:val="20"/>
      <w:szCs w:val="22"/>
      <w:lang w:val="en-US"/>
    </w:rPr>
  </w:style>
  <w:style w:type="paragraph" w:styleId="Title">
    <w:name w:val="Title"/>
    <w:basedOn w:val="Normal"/>
    <w:autoRedefine/>
    <w:qFormat/>
    <w:rsid w:val="00F17288"/>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A85A5C"/>
    <w:pPr>
      <w:numPr>
        <w:ilvl w:val="1"/>
        <w:numId w:val="5"/>
      </w:numPr>
      <w:tabs>
        <w:tab w:val="left" w:pos="624"/>
      </w:tabs>
      <w:suppressAutoHyphens/>
      <w:spacing w:after="120"/>
    </w:pPr>
    <w:rPr>
      <w:sz w:val="20"/>
    </w:rPr>
  </w:style>
  <w:style w:type="character" w:customStyle="1" w:styleId="Paralevel1Char">
    <w:name w:val="Para level1 Char"/>
    <w:link w:val="Paralevel1"/>
    <w:rsid w:val="00A85A5C"/>
    <w:rPr>
      <w:lang w:eastAsia="en-US" w:bidi="ar-SA"/>
    </w:rPr>
  </w:style>
  <w:style w:type="paragraph" w:customStyle="1" w:styleId="Paralevel2">
    <w:name w:val="Para level2"/>
    <w:basedOn w:val="Paralevel1"/>
    <w:link w:val="Paralevel2Char"/>
    <w:autoRedefine/>
    <w:rsid w:val="00930C8A"/>
    <w:pPr>
      <w:numPr>
        <w:ilvl w:val="0"/>
        <w:numId w:val="0"/>
      </w:numPr>
      <w:ind w:left="1253"/>
    </w:pPr>
  </w:style>
  <w:style w:type="character" w:styleId="FootnoteReference">
    <w:name w:val="footnote reference"/>
    <w:aliases w:val="16 Point,Superscript 6 Point,ftref,(Ref. de nota al pie),number,SUPERS,Footnote Reference Superscript"/>
    <w:semiHidden/>
    <w:rsid w:val="009B4A0F"/>
    <w:rPr>
      <w:rFonts w:ascii="Times New Roman" w:hAnsi="Times New Roman"/>
      <w:color w:val="auto"/>
      <w:sz w:val="20"/>
      <w:szCs w:val="18"/>
      <w:vertAlign w:val="superscript"/>
    </w:rPr>
  </w:style>
  <w:style w:type="paragraph" w:styleId="FootnoteText">
    <w:name w:val="footnote text"/>
    <w:aliases w:val="Geneva 9,Font: Geneva 9,Boston 10,f,DNV-FT,93,single space,Footnote Text Rail EIS,ft,Char,footnote3,Footnotes,Footnote ak,fn cafc,Footnotes Char Char,Footnote Text Char Char,fn Char Char,footnote text,footnote text Char Char Char Ch"/>
    <w:basedOn w:val="Normal"/>
    <w:link w:val="FootnoteTextChar"/>
    <w:semiHidden/>
    <w:rsid w:val="00247707"/>
    <w:pPr>
      <w:spacing w:before="20" w:after="40"/>
      <w:ind w:left="1247"/>
    </w:pPr>
    <w:rPr>
      <w:sz w:val="18"/>
    </w:rPr>
  </w:style>
  <w:style w:type="character" w:customStyle="1" w:styleId="Paralevel2Char">
    <w:name w:val="Para level2 Char"/>
    <w:basedOn w:val="Paralevel1Char"/>
    <w:link w:val="Paralevel2"/>
    <w:rsid w:val="00930C8A"/>
    <w:rPr>
      <w:lang w:val="en-GB" w:eastAsia="en-US" w:bidi="ar-SA"/>
    </w:rPr>
  </w:style>
  <w:style w:type="paragraph" w:customStyle="1" w:styleId="Subtitle">
    <w:name w:val="Sub title"/>
    <w:basedOn w:val="Heading2"/>
    <w:rsid w:val="00930C8A"/>
    <w:pPr>
      <w:spacing w:before="0" w:after="0"/>
      <w:ind w:firstLine="0"/>
    </w:pPr>
  </w:style>
  <w:style w:type="paragraph" w:customStyle="1" w:styleId="Anxhead">
    <w:name w:val="Anx head"/>
    <w:basedOn w:val="Normal"/>
    <w:rsid w:val="001C2043"/>
    <w:rPr>
      <w:b/>
      <w:bCs/>
      <w:sz w:val="28"/>
      <w:szCs w:val="22"/>
    </w:rPr>
  </w:style>
  <w:style w:type="character" w:customStyle="1" w:styleId="FootnoteTextChar">
    <w:name w:val="Footnote Text Char"/>
    <w:aliases w:val="Geneva 9 Char,Font: Geneva 9 Char,Boston 10 Char,f Char,DNV-FT Char,93 Char,single space Char,Footnote Text Rail EIS Char,ft Char,Char Char,footnote3 Char,Footnotes Char,Footnote ak Char,fn cafc Char,Footnotes Char Char Char"/>
    <w:link w:val="FootnoteText"/>
    <w:rsid w:val="001C2043"/>
    <w:rPr>
      <w:sz w:val="18"/>
      <w:lang w:val="en-GB" w:eastAsia="en-US" w:bidi="ar-SA"/>
    </w:rPr>
  </w:style>
  <w:style w:type="character" w:customStyle="1" w:styleId="Paralevel1Char1">
    <w:name w:val="Para level1 Char1"/>
    <w:rsid w:val="00965CC5"/>
    <w:rPr>
      <w:lang w:val="en-GB" w:eastAsia="en-US" w:bidi="ar-SA"/>
    </w:rPr>
  </w:style>
  <w:style w:type="paragraph" w:styleId="BalloonText">
    <w:name w:val="Balloon Text"/>
    <w:basedOn w:val="Normal"/>
    <w:semiHidden/>
    <w:rsid w:val="001A33E8"/>
    <w:rPr>
      <w:rFonts w:ascii="Tahoma" w:hAnsi="Tahoma" w:cs="Tahoma"/>
      <w:sz w:val="16"/>
      <w:szCs w:val="16"/>
    </w:rPr>
  </w:style>
  <w:style w:type="character" w:customStyle="1" w:styleId="FooterChar">
    <w:name w:val="Footer Char"/>
    <w:link w:val="Footer"/>
    <w:uiPriority w:val="99"/>
    <w:rsid w:val="00C44CDF"/>
    <w:rPr>
      <w:sz w:val="24"/>
      <w:lang w:val="en-GB" w:eastAsia="en-US" w:bidi="ar-SA"/>
    </w:rPr>
  </w:style>
  <w:style w:type="paragraph" w:customStyle="1" w:styleId="Anxtitle">
    <w:name w:val="Anx title"/>
    <w:basedOn w:val="Normal"/>
    <w:link w:val="AnxtitleChar"/>
    <w:rsid w:val="00C44CDF"/>
    <w:pPr>
      <w:ind w:left="1247"/>
    </w:pPr>
    <w:rPr>
      <w:b/>
      <w:bCs/>
      <w:sz w:val="28"/>
      <w:szCs w:val="26"/>
    </w:rPr>
  </w:style>
  <w:style w:type="character" w:customStyle="1" w:styleId="AnxtitleChar">
    <w:name w:val="Anx title Char"/>
    <w:link w:val="Anxtitle"/>
    <w:rsid w:val="00C44CDF"/>
    <w:rPr>
      <w:b/>
      <w:bCs/>
      <w:sz w:val="28"/>
      <w:szCs w:val="26"/>
      <w:lang w:val="en-GB" w:eastAsia="en-US" w:bidi="ar-SA"/>
    </w:rPr>
  </w:style>
  <w:style w:type="character" w:customStyle="1" w:styleId="HeaderChar">
    <w:name w:val="Header Char"/>
    <w:link w:val="Header"/>
    <w:rsid w:val="00C44CDF"/>
    <w:rPr>
      <w:b/>
      <w:sz w:val="18"/>
      <w:lang w:val="en-GB" w:eastAsia="en-US" w:bidi="ar-SA"/>
    </w:rPr>
  </w:style>
  <w:style w:type="character" w:styleId="CommentReference">
    <w:name w:val="annotation reference"/>
    <w:rsid w:val="00424D75"/>
    <w:rPr>
      <w:sz w:val="16"/>
      <w:szCs w:val="16"/>
    </w:rPr>
  </w:style>
  <w:style w:type="paragraph" w:styleId="CommentText">
    <w:name w:val="annotation text"/>
    <w:basedOn w:val="Normal"/>
    <w:link w:val="CommentTextChar"/>
    <w:rsid w:val="00424D75"/>
    <w:rPr>
      <w:sz w:val="20"/>
    </w:rPr>
  </w:style>
  <w:style w:type="character" w:customStyle="1" w:styleId="CommentTextChar">
    <w:name w:val="Comment Text Char"/>
    <w:link w:val="CommentText"/>
    <w:rsid w:val="00424D75"/>
    <w:rPr>
      <w:lang w:val="en-GB"/>
    </w:rPr>
  </w:style>
  <w:style w:type="paragraph" w:styleId="CommentSubject">
    <w:name w:val="annotation subject"/>
    <w:basedOn w:val="CommentText"/>
    <w:next w:val="CommentText"/>
    <w:link w:val="CommentSubjectChar"/>
    <w:rsid w:val="00424D75"/>
    <w:rPr>
      <w:b/>
      <w:bCs/>
    </w:rPr>
  </w:style>
  <w:style w:type="character" w:customStyle="1" w:styleId="CommentSubjectChar">
    <w:name w:val="Comment Subject Char"/>
    <w:link w:val="CommentSubject"/>
    <w:rsid w:val="00424D75"/>
    <w:rPr>
      <w:b/>
      <w:bCs/>
      <w:lang w:val="en-GB"/>
    </w:rPr>
  </w:style>
  <w:style w:type="paragraph" w:customStyle="1" w:styleId="Normal-pool">
    <w:name w:val="Normal-pool"/>
    <w:rsid w:val="00A94A6C"/>
    <w:pPr>
      <w:tabs>
        <w:tab w:val="left" w:pos="1247"/>
        <w:tab w:val="left" w:pos="1814"/>
        <w:tab w:val="left" w:pos="2381"/>
        <w:tab w:val="left" w:pos="2948"/>
        <w:tab w:val="left" w:pos="3515"/>
      </w:tabs>
    </w:pPr>
    <w:rPr>
      <w:lang w:eastAsia="en-US" w:bidi="ar-SA"/>
    </w:rPr>
  </w:style>
  <w:style w:type="paragraph" w:customStyle="1" w:styleId="Rvision">
    <w:name w:val="Révision"/>
    <w:hidden/>
    <w:uiPriority w:val="99"/>
    <w:semiHidden/>
    <w:rsid w:val="00326566"/>
    <w:rPr>
      <w:sz w:val="24"/>
      <w:lang w:eastAsia="en-US" w:bidi="ar-SA"/>
    </w:rPr>
  </w:style>
  <w:style w:type="character" w:customStyle="1" w:styleId="NormalnumberChar">
    <w:name w:val="Normal_number Char"/>
    <w:link w:val="Normalnumber"/>
    <w:rsid w:val="0096332C"/>
    <w:rPr>
      <w:lang w:eastAsia="en-US" w:bidi="ar-SA"/>
    </w:rPr>
  </w:style>
  <w:style w:type="table" w:customStyle="1" w:styleId="AATable">
    <w:name w:val="AA_Table"/>
    <w:basedOn w:val="Table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ind w:rightChars="0" w:right="567"/>
      </w:pPr>
      <w:rPr>
        <w:rFonts w:ascii="Courier New" w:hAnsi="Courier New"/>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D4FAA"/>
    <w:pPr>
      <w:keepNext/>
      <w:keepLines/>
      <w:suppressAutoHyphens/>
      <w:ind w:right="3402"/>
    </w:pPr>
    <w:rPr>
      <w:b/>
      <w:sz w:val="20"/>
    </w:rPr>
  </w:style>
  <w:style w:type="paragraph" w:customStyle="1" w:styleId="AATitle2">
    <w:name w:val="AA_Title2"/>
    <w:basedOn w:val="AATitle"/>
    <w:rsid w:val="0015544E"/>
    <w:pPr>
      <w:spacing w:before="60" w:after="6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082A0C"/>
    <w:pPr>
      <w:tabs>
        <w:tab w:val="center" w:pos="4320"/>
        <w:tab w:val="right" w:pos="8640"/>
      </w:tabs>
      <w:spacing w:before="60" w:after="120"/>
    </w:p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AD4FAA"/>
    <w:pPr>
      <w:spacing w:after="120"/>
      <w:ind w:left="1247"/>
    </w:pPr>
    <w:rPr>
      <w:sz w:val="20"/>
    </w:rPr>
  </w:style>
  <w:style w:type="paragraph" w:customStyle="1" w:styleId="Normalnumber">
    <w:name w:val="Normal_number"/>
    <w:basedOn w:val="Normal"/>
    <w:link w:val="NormalnumberChar"/>
    <w:rsid w:val="00930C8A"/>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numbering" w:customStyle="1" w:styleId="Normallist4">
    <w:name w:val="Normal_list4"/>
    <w:rsid w:val="00A3243B"/>
  </w:style>
  <w:style w:type="character" w:customStyle="1" w:styleId="CH2Char">
    <w:name w:val="CH2 Char"/>
    <w:link w:val="CH2"/>
    <w:rsid w:val="00935390"/>
    <w:rPr>
      <w:b/>
      <w:sz w:val="24"/>
      <w:szCs w:val="24"/>
      <w:lang w:eastAsia="en-US" w:bidi="ar-SA"/>
    </w:rPr>
  </w:style>
  <w:style w:type="character" w:styleId="FollowedHyperlink">
    <w:name w:val="FollowedHyperlink"/>
    <w:basedOn w:val="DefaultParagraphFont"/>
    <w:rsid w:val="00367AF1"/>
    <w:rPr>
      <w:color w:val="800080" w:themeColor="followedHyperlink"/>
      <w:u w:val="single"/>
    </w:rPr>
  </w:style>
  <w:style w:type="paragraph" w:styleId="ListParagraph">
    <w:name w:val="List Paragraph"/>
    <w:basedOn w:val="Normal"/>
    <w:uiPriority w:val="34"/>
    <w:qFormat/>
    <w:rsid w:val="00E5143B"/>
    <w:pPr>
      <w:ind w:left="720"/>
      <w:contextualSpacing/>
    </w:pPr>
  </w:style>
  <w:style w:type="paragraph" w:styleId="Revision">
    <w:name w:val="Revision"/>
    <w:hidden/>
    <w:uiPriority w:val="99"/>
    <w:semiHidden/>
    <w:rsid w:val="004320F7"/>
    <w:rPr>
      <w:sz w:val="24"/>
      <w:lang w:eastAsia="en-US" w:bidi="ar-SA"/>
    </w:rPr>
  </w:style>
  <w:style w:type="paragraph" w:customStyle="1" w:styleId="Default">
    <w:name w:val="Default"/>
    <w:rsid w:val="00B572F5"/>
    <w:pPr>
      <w:autoSpaceDE w:val="0"/>
      <w:autoSpaceDN w:val="0"/>
      <w:adjustRightInd w:val="0"/>
    </w:pPr>
    <w:rPr>
      <w:rFonts w:ascii="Arial" w:hAnsi="Arial" w:cs="Arial"/>
      <w:color w:val="000000"/>
      <w:sz w:val="24"/>
      <w:szCs w:val="24"/>
      <w:lang w:val="fr-CH" w:bidi="ar-SA"/>
    </w:rPr>
  </w:style>
  <w:style w:type="numbering" w:customStyle="1" w:styleId="Normallist41">
    <w:name w:val="Normal_list41"/>
    <w:rsid w:val="00F96150"/>
  </w:style>
  <w:style w:type="numbering" w:customStyle="1" w:styleId="Normallist1">
    <w:name w:val="Normal_list1"/>
    <w:basedOn w:val="NoList"/>
    <w:rsid w:val="00C25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288"/>
    <w:rPr>
      <w:sz w:val="24"/>
      <w:lang w:eastAsia="en-US" w:bidi="ar-SA"/>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B3327E"/>
    <w:pPr>
      <w:spacing w:after="120"/>
    </w:pPr>
    <w:rPr>
      <w:b/>
      <w:sz w:val="20"/>
      <w:szCs w:val="22"/>
      <w:lang w:val="en-US"/>
    </w:rPr>
  </w:style>
  <w:style w:type="paragraph" w:styleId="Title">
    <w:name w:val="Title"/>
    <w:basedOn w:val="Normal"/>
    <w:autoRedefine/>
    <w:qFormat/>
    <w:rsid w:val="00F17288"/>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A85A5C"/>
    <w:pPr>
      <w:numPr>
        <w:ilvl w:val="1"/>
        <w:numId w:val="5"/>
      </w:numPr>
      <w:tabs>
        <w:tab w:val="left" w:pos="624"/>
      </w:tabs>
      <w:suppressAutoHyphens/>
      <w:spacing w:after="120"/>
    </w:pPr>
    <w:rPr>
      <w:sz w:val="20"/>
    </w:rPr>
  </w:style>
  <w:style w:type="character" w:customStyle="1" w:styleId="Paralevel1Char">
    <w:name w:val="Para level1 Char"/>
    <w:link w:val="Paralevel1"/>
    <w:rsid w:val="00A85A5C"/>
    <w:rPr>
      <w:lang w:eastAsia="en-US" w:bidi="ar-SA"/>
    </w:rPr>
  </w:style>
  <w:style w:type="paragraph" w:customStyle="1" w:styleId="Paralevel2">
    <w:name w:val="Para level2"/>
    <w:basedOn w:val="Paralevel1"/>
    <w:link w:val="Paralevel2Char"/>
    <w:autoRedefine/>
    <w:rsid w:val="00930C8A"/>
    <w:pPr>
      <w:numPr>
        <w:ilvl w:val="0"/>
        <w:numId w:val="0"/>
      </w:numPr>
      <w:ind w:left="1253"/>
    </w:pPr>
  </w:style>
  <w:style w:type="character" w:styleId="FootnoteReference">
    <w:name w:val="footnote reference"/>
    <w:aliases w:val="16 Point,Superscript 6 Point,ftref,(Ref. de nota al pie),number,SUPERS,Footnote Reference Superscript"/>
    <w:semiHidden/>
    <w:rsid w:val="009B4A0F"/>
    <w:rPr>
      <w:rFonts w:ascii="Times New Roman" w:hAnsi="Times New Roman"/>
      <w:color w:val="auto"/>
      <w:sz w:val="20"/>
      <w:szCs w:val="18"/>
      <w:vertAlign w:val="superscript"/>
    </w:rPr>
  </w:style>
  <w:style w:type="paragraph" w:styleId="FootnoteText">
    <w:name w:val="footnote text"/>
    <w:aliases w:val="Geneva 9,Font: Geneva 9,Boston 10,f,DNV-FT,93,single space,Footnote Text Rail EIS,ft,Char,footnote3,Footnotes,Footnote ak,fn cafc,Footnotes Char Char,Footnote Text Char Char,fn Char Char,footnote text,footnote text Char Char Char Ch"/>
    <w:basedOn w:val="Normal"/>
    <w:link w:val="FootnoteTextChar"/>
    <w:semiHidden/>
    <w:rsid w:val="00247707"/>
    <w:pPr>
      <w:spacing w:before="20" w:after="40"/>
      <w:ind w:left="1247"/>
    </w:pPr>
    <w:rPr>
      <w:sz w:val="18"/>
    </w:rPr>
  </w:style>
  <w:style w:type="character" w:customStyle="1" w:styleId="Paralevel2Char">
    <w:name w:val="Para level2 Char"/>
    <w:basedOn w:val="Paralevel1Char"/>
    <w:link w:val="Paralevel2"/>
    <w:rsid w:val="00930C8A"/>
    <w:rPr>
      <w:lang w:val="en-GB" w:eastAsia="en-US" w:bidi="ar-SA"/>
    </w:rPr>
  </w:style>
  <w:style w:type="paragraph" w:customStyle="1" w:styleId="Subtitle">
    <w:name w:val="Sub title"/>
    <w:basedOn w:val="Heading2"/>
    <w:rsid w:val="00930C8A"/>
    <w:pPr>
      <w:spacing w:before="0" w:after="0"/>
      <w:ind w:firstLine="0"/>
    </w:pPr>
  </w:style>
  <w:style w:type="paragraph" w:customStyle="1" w:styleId="Anxhead">
    <w:name w:val="Anx head"/>
    <w:basedOn w:val="Normal"/>
    <w:rsid w:val="001C2043"/>
    <w:rPr>
      <w:b/>
      <w:bCs/>
      <w:sz w:val="28"/>
      <w:szCs w:val="22"/>
    </w:rPr>
  </w:style>
  <w:style w:type="character" w:customStyle="1" w:styleId="FootnoteTextChar">
    <w:name w:val="Footnote Text Char"/>
    <w:aliases w:val="Geneva 9 Char,Font: Geneva 9 Char,Boston 10 Char,f Char,DNV-FT Char,93 Char,single space Char,Footnote Text Rail EIS Char,ft Char,Char Char,footnote3 Char,Footnotes Char,Footnote ak Char,fn cafc Char,Footnotes Char Char Char"/>
    <w:link w:val="FootnoteText"/>
    <w:rsid w:val="001C2043"/>
    <w:rPr>
      <w:sz w:val="18"/>
      <w:lang w:val="en-GB" w:eastAsia="en-US" w:bidi="ar-SA"/>
    </w:rPr>
  </w:style>
  <w:style w:type="character" w:customStyle="1" w:styleId="Paralevel1Char1">
    <w:name w:val="Para level1 Char1"/>
    <w:rsid w:val="00965CC5"/>
    <w:rPr>
      <w:lang w:val="en-GB" w:eastAsia="en-US" w:bidi="ar-SA"/>
    </w:rPr>
  </w:style>
  <w:style w:type="paragraph" w:styleId="BalloonText">
    <w:name w:val="Balloon Text"/>
    <w:basedOn w:val="Normal"/>
    <w:semiHidden/>
    <w:rsid w:val="001A33E8"/>
    <w:rPr>
      <w:rFonts w:ascii="Tahoma" w:hAnsi="Tahoma" w:cs="Tahoma"/>
      <w:sz w:val="16"/>
      <w:szCs w:val="16"/>
    </w:rPr>
  </w:style>
  <w:style w:type="character" w:customStyle="1" w:styleId="FooterChar">
    <w:name w:val="Footer Char"/>
    <w:link w:val="Footer"/>
    <w:uiPriority w:val="99"/>
    <w:rsid w:val="00C44CDF"/>
    <w:rPr>
      <w:sz w:val="24"/>
      <w:lang w:val="en-GB" w:eastAsia="en-US" w:bidi="ar-SA"/>
    </w:rPr>
  </w:style>
  <w:style w:type="paragraph" w:customStyle="1" w:styleId="Anxtitle">
    <w:name w:val="Anx title"/>
    <w:basedOn w:val="Normal"/>
    <w:link w:val="AnxtitleChar"/>
    <w:rsid w:val="00C44CDF"/>
    <w:pPr>
      <w:ind w:left="1247"/>
    </w:pPr>
    <w:rPr>
      <w:b/>
      <w:bCs/>
      <w:sz w:val="28"/>
      <w:szCs w:val="26"/>
    </w:rPr>
  </w:style>
  <w:style w:type="character" w:customStyle="1" w:styleId="AnxtitleChar">
    <w:name w:val="Anx title Char"/>
    <w:link w:val="Anxtitle"/>
    <w:rsid w:val="00C44CDF"/>
    <w:rPr>
      <w:b/>
      <w:bCs/>
      <w:sz w:val="28"/>
      <w:szCs w:val="26"/>
      <w:lang w:val="en-GB" w:eastAsia="en-US" w:bidi="ar-SA"/>
    </w:rPr>
  </w:style>
  <w:style w:type="character" w:customStyle="1" w:styleId="HeaderChar">
    <w:name w:val="Header Char"/>
    <w:link w:val="Header"/>
    <w:rsid w:val="00C44CDF"/>
    <w:rPr>
      <w:b/>
      <w:sz w:val="18"/>
      <w:lang w:val="en-GB" w:eastAsia="en-US" w:bidi="ar-SA"/>
    </w:rPr>
  </w:style>
  <w:style w:type="character" w:styleId="CommentReference">
    <w:name w:val="annotation reference"/>
    <w:rsid w:val="00424D75"/>
    <w:rPr>
      <w:sz w:val="16"/>
      <w:szCs w:val="16"/>
    </w:rPr>
  </w:style>
  <w:style w:type="paragraph" w:styleId="CommentText">
    <w:name w:val="annotation text"/>
    <w:basedOn w:val="Normal"/>
    <w:link w:val="CommentTextChar"/>
    <w:rsid w:val="00424D75"/>
    <w:rPr>
      <w:sz w:val="20"/>
    </w:rPr>
  </w:style>
  <w:style w:type="character" w:customStyle="1" w:styleId="CommentTextChar">
    <w:name w:val="Comment Text Char"/>
    <w:link w:val="CommentText"/>
    <w:rsid w:val="00424D75"/>
    <w:rPr>
      <w:lang w:val="en-GB"/>
    </w:rPr>
  </w:style>
  <w:style w:type="paragraph" w:styleId="CommentSubject">
    <w:name w:val="annotation subject"/>
    <w:basedOn w:val="CommentText"/>
    <w:next w:val="CommentText"/>
    <w:link w:val="CommentSubjectChar"/>
    <w:rsid w:val="00424D75"/>
    <w:rPr>
      <w:b/>
      <w:bCs/>
    </w:rPr>
  </w:style>
  <w:style w:type="character" w:customStyle="1" w:styleId="CommentSubjectChar">
    <w:name w:val="Comment Subject Char"/>
    <w:link w:val="CommentSubject"/>
    <w:rsid w:val="00424D75"/>
    <w:rPr>
      <w:b/>
      <w:bCs/>
      <w:lang w:val="en-GB"/>
    </w:rPr>
  </w:style>
  <w:style w:type="paragraph" w:customStyle="1" w:styleId="Normal-pool">
    <w:name w:val="Normal-pool"/>
    <w:rsid w:val="00A94A6C"/>
    <w:pPr>
      <w:tabs>
        <w:tab w:val="left" w:pos="1247"/>
        <w:tab w:val="left" w:pos="1814"/>
        <w:tab w:val="left" w:pos="2381"/>
        <w:tab w:val="left" w:pos="2948"/>
        <w:tab w:val="left" w:pos="3515"/>
      </w:tabs>
    </w:pPr>
    <w:rPr>
      <w:lang w:eastAsia="en-US" w:bidi="ar-SA"/>
    </w:rPr>
  </w:style>
  <w:style w:type="paragraph" w:customStyle="1" w:styleId="Rvision">
    <w:name w:val="Révision"/>
    <w:hidden/>
    <w:uiPriority w:val="99"/>
    <w:semiHidden/>
    <w:rsid w:val="00326566"/>
    <w:rPr>
      <w:sz w:val="24"/>
      <w:lang w:eastAsia="en-US" w:bidi="ar-SA"/>
    </w:rPr>
  </w:style>
  <w:style w:type="character" w:customStyle="1" w:styleId="NormalnumberChar">
    <w:name w:val="Normal_number Char"/>
    <w:link w:val="Normalnumber"/>
    <w:rsid w:val="0096332C"/>
    <w:rPr>
      <w:lang w:eastAsia="en-US" w:bidi="ar-SA"/>
    </w:rPr>
  </w:style>
  <w:style w:type="table" w:customStyle="1" w:styleId="AATable">
    <w:name w:val="AA_Table"/>
    <w:basedOn w:val="Table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ind w:rightChars="0" w:right="567"/>
      </w:pPr>
      <w:rPr>
        <w:rFonts w:ascii="Courier New" w:hAnsi="Courier New"/>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D4FAA"/>
    <w:pPr>
      <w:keepNext/>
      <w:keepLines/>
      <w:suppressAutoHyphens/>
      <w:ind w:right="3402"/>
    </w:pPr>
    <w:rPr>
      <w:b/>
      <w:sz w:val="20"/>
    </w:rPr>
  </w:style>
  <w:style w:type="paragraph" w:customStyle="1" w:styleId="AATitle2">
    <w:name w:val="AA_Title2"/>
    <w:basedOn w:val="AATitle"/>
    <w:rsid w:val="0015544E"/>
    <w:pPr>
      <w:spacing w:before="60" w:after="6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082A0C"/>
    <w:pPr>
      <w:tabs>
        <w:tab w:val="center" w:pos="4320"/>
        <w:tab w:val="right" w:pos="8640"/>
      </w:tabs>
      <w:spacing w:before="60" w:after="120"/>
    </w:p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AD4FAA"/>
    <w:pPr>
      <w:spacing w:after="120"/>
      <w:ind w:left="1247"/>
    </w:pPr>
    <w:rPr>
      <w:sz w:val="20"/>
    </w:rPr>
  </w:style>
  <w:style w:type="paragraph" w:customStyle="1" w:styleId="Normalnumber">
    <w:name w:val="Normal_number"/>
    <w:basedOn w:val="Normal"/>
    <w:link w:val="NormalnumberChar"/>
    <w:rsid w:val="00930C8A"/>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numbering" w:customStyle="1" w:styleId="Normallist4">
    <w:name w:val="Normal_list4"/>
    <w:rsid w:val="00A3243B"/>
  </w:style>
  <w:style w:type="character" w:customStyle="1" w:styleId="CH2Char">
    <w:name w:val="CH2 Char"/>
    <w:link w:val="CH2"/>
    <w:rsid w:val="00935390"/>
    <w:rPr>
      <w:b/>
      <w:sz w:val="24"/>
      <w:szCs w:val="24"/>
      <w:lang w:eastAsia="en-US" w:bidi="ar-SA"/>
    </w:rPr>
  </w:style>
  <w:style w:type="character" w:styleId="FollowedHyperlink">
    <w:name w:val="FollowedHyperlink"/>
    <w:basedOn w:val="DefaultParagraphFont"/>
    <w:rsid w:val="00367AF1"/>
    <w:rPr>
      <w:color w:val="800080" w:themeColor="followedHyperlink"/>
      <w:u w:val="single"/>
    </w:rPr>
  </w:style>
  <w:style w:type="paragraph" w:styleId="ListParagraph">
    <w:name w:val="List Paragraph"/>
    <w:basedOn w:val="Normal"/>
    <w:uiPriority w:val="34"/>
    <w:qFormat/>
    <w:rsid w:val="00E5143B"/>
    <w:pPr>
      <w:ind w:left="720"/>
      <w:contextualSpacing/>
    </w:pPr>
  </w:style>
  <w:style w:type="paragraph" w:styleId="Revision">
    <w:name w:val="Revision"/>
    <w:hidden/>
    <w:uiPriority w:val="99"/>
    <w:semiHidden/>
    <w:rsid w:val="004320F7"/>
    <w:rPr>
      <w:sz w:val="24"/>
      <w:lang w:eastAsia="en-US" w:bidi="ar-SA"/>
    </w:rPr>
  </w:style>
  <w:style w:type="paragraph" w:customStyle="1" w:styleId="Default">
    <w:name w:val="Default"/>
    <w:rsid w:val="00B572F5"/>
    <w:pPr>
      <w:autoSpaceDE w:val="0"/>
      <w:autoSpaceDN w:val="0"/>
      <w:adjustRightInd w:val="0"/>
    </w:pPr>
    <w:rPr>
      <w:rFonts w:ascii="Arial" w:hAnsi="Arial" w:cs="Arial"/>
      <w:color w:val="000000"/>
      <w:sz w:val="24"/>
      <w:szCs w:val="24"/>
      <w:lang w:val="fr-CH" w:bidi="ar-SA"/>
    </w:rPr>
  </w:style>
  <w:style w:type="numbering" w:customStyle="1" w:styleId="Normallist41">
    <w:name w:val="Normal_list41"/>
    <w:rsid w:val="00F96150"/>
  </w:style>
  <w:style w:type="numbering" w:customStyle="1" w:styleId="Normallist1">
    <w:name w:val="Normal_list1"/>
    <w:basedOn w:val="NoList"/>
    <w:rsid w:val="00C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ynergies.pops.int/Default.aspx?tabid=4624" TargetMode="External"/><Relationship Id="rId2" Type="http://schemas.openxmlformats.org/officeDocument/2006/relationships/hyperlink" Target="http://chm.pops.int/Partners/RegionalCentres/ActivitiesReport/tabid/4112/Default.aspx" TargetMode="External"/><Relationship Id="rId1" Type="http://schemas.openxmlformats.org/officeDocument/2006/relationships/hyperlink" Target="http://chm.pops.int/Partners/RegionalCentres/Workplans/tabid/482/Default.aspx" TargetMode="External"/><Relationship Id="rId6" Type="http://schemas.openxmlformats.org/officeDocument/2006/relationships/hyperlink" Target="http://chm.pops.int/Partners/RegionalCentres/Workplans/tabid/482/Default.aspx" TargetMode="External"/><Relationship Id="rId5" Type="http://schemas.openxmlformats.org/officeDocument/2006/relationships/hyperlink" Target="http://chm.pops.int/?tabid=600" TargetMode="External"/><Relationship Id="rId4" Type="http://schemas.openxmlformats.org/officeDocument/2006/relationships/hyperlink" Target="http://synergies.pops.int/Default.aspx?tabid=5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itei\Application%20Data\Microsoft\Templates\United%20N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1402-34CB-4717-A3E6-B9E8DCB5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Nations.dot</Template>
  <TotalTime>1</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waitei</dc:creator>
  <cp:lastModifiedBy>Veronica Gathu</cp:lastModifiedBy>
  <cp:revision>3</cp:revision>
  <cp:lastPrinted>2017-01-16T11:26:00Z</cp:lastPrinted>
  <dcterms:created xsi:type="dcterms:W3CDTF">2017-04-12T13:00:00Z</dcterms:created>
  <dcterms:modified xsi:type="dcterms:W3CDTF">2017-04-12T13:01:00Z</dcterms:modified>
</cp:coreProperties>
</file>