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FD3" w:rsidRPr="00DB087F" w:rsidRDefault="00273FD3" w:rsidP="00273FD3">
      <w:pPr>
        <w:spacing w:after="120"/>
        <w:ind w:left="1247"/>
        <w:rPr>
          <w:b/>
          <w:sz w:val="28"/>
          <w:szCs w:val="28"/>
          <w:lang w:val="es-ES"/>
        </w:rPr>
      </w:pPr>
      <w:r w:rsidRPr="00DB087F">
        <w:rPr>
          <w:b/>
          <w:sz w:val="28"/>
          <w:szCs w:val="28"/>
          <w:lang w:val="es-ES"/>
        </w:rPr>
        <w:t>SC</w:t>
      </w:r>
      <w:r w:rsidRPr="00DB087F">
        <w:rPr>
          <w:b/>
          <w:sz w:val="28"/>
          <w:szCs w:val="28"/>
          <w:lang w:val="es-ES"/>
        </w:rPr>
        <w:noBreakHyphen/>
        <w:t>7/29: Mecanismo para el intercambio de información</w:t>
      </w:r>
    </w:p>
    <w:p w:rsidR="00273FD3" w:rsidRPr="00DB087F" w:rsidRDefault="00273FD3" w:rsidP="00273FD3">
      <w:pPr>
        <w:pStyle w:val="NormalNonumber"/>
        <w:tabs>
          <w:tab w:val="clear" w:pos="1247"/>
          <w:tab w:val="clear" w:pos="1814"/>
          <w:tab w:val="clear" w:pos="2381"/>
          <w:tab w:val="clear" w:pos="2948"/>
          <w:tab w:val="clear" w:pos="3515"/>
          <w:tab w:val="clear" w:pos="4082"/>
        </w:tabs>
        <w:ind w:firstLine="567"/>
        <w:rPr>
          <w:i/>
          <w:lang w:val="es-ES"/>
        </w:rPr>
      </w:pPr>
      <w:r w:rsidRPr="00DB087F">
        <w:rPr>
          <w:i/>
          <w:lang w:val="es-ES"/>
        </w:rPr>
        <w:t>La Conferencia de las Partes</w:t>
      </w:r>
    </w:p>
    <w:p w:rsidR="00273FD3" w:rsidRPr="00DB087F" w:rsidRDefault="00273FD3" w:rsidP="00273FD3">
      <w:pPr>
        <w:numPr>
          <w:ilvl w:val="0"/>
          <w:numId w:val="1"/>
        </w:numPr>
        <w:tabs>
          <w:tab w:val="clear" w:pos="3215"/>
        </w:tabs>
        <w:autoSpaceDE w:val="0"/>
        <w:autoSpaceDN w:val="0"/>
        <w:adjustRightInd w:val="0"/>
        <w:spacing w:after="120"/>
        <w:ind w:left="1247" w:firstLine="624"/>
        <w:rPr>
          <w:sz w:val="20"/>
          <w:lang w:val="es-ES"/>
        </w:rPr>
      </w:pPr>
      <w:r w:rsidRPr="00DB087F">
        <w:rPr>
          <w:i/>
          <w:sz w:val="20"/>
          <w:lang w:val="es-ES"/>
        </w:rPr>
        <w:t>Toma nota</w:t>
      </w:r>
      <w:r w:rsidRPr="00DB087F">
        <w:rPr>
          <w:sz w:val="20"/>
          <w:lang w:val="es-ES"/>
        </w:rPr>
        <w:t xml:space="preserve"> de los progresos realizados en la aplicación del mecanismo conjunto de intercambio de información conjunto, que debería servir de plataforma para el intercambio y la difusión de información</w:t>
      </w:r>
      <w:r w:rsidRPr="00DB087F">
        <w:rPr>
          <w:iCs/>
          <w:color w:val="000000"/>
          <w:sz w:val="20"/>
          <w:lang w:val="es-ES"/>
        </w:rPr>
        <w:t xml:space="preserve">; </w:t>
      </w:r>
    </w:p>
    <w:p w:rsidR="00273FD3" w:rsidRPr="00DB087F" w:rsidRDefault="00273FD3" w:rsidP="00273FD3">
      <w:pPr>
        <w:numPr>
          <w:ilvl w:val="0"/>
          <w:numId w:val="1"/>
        </w:numPr>
        <w:tabs>
          <w:tab w:val="clear" w:pos="3215"/>
        </w:tabs>
        <w:autoSpaceDE w:val="0"/>
        <w:autoSpaceDN w:val="0"/>
        <w:adjustRightInd w:val="0"/>
        <w:spacing w:after="120"/>
        <w:ind w:left="1247" w:firstLine="624"/>
        <w:rPr>
          <w:iCs/>
          <w:color w:val="000000"/>
          <w:sz w:val="20"/>
          <w:lang w:val="es-ES"/>
        </w:rPr>
      </w:pPr>
      <w:r w:rsidRPr="00DB087F">
        <w:rPr>
          <w:i/>
          <w:sz w:val="20"/>
          <w:lang w:val="es-ES"/>
        </w:rPr>
        <w:t>Toma nota</w:t>
      </w:r>
      <w:r w:rsidRPr="00DB087F">
        <w:rPr>
          <w:sz w:val="20"/>
          <w:lang w:val="es-ES"/>
        </w:rPr>
        <w:t xml:space="preserve"> de la estrategia propuesta para el mecanismo conjunto de intercambio de información</w:t>
      </w:r>
      <w:r w:rsidRPr="00DB087F">
        <w:rPr>
          <w:sz w:val="20"/>
          <w:vertAlign w:val="superscript"/>
          <w:lang w:val="es-ES"/>
        </w:rPr>
        <w:footnoteReference w:id="1"/>
      </w:r>
      <w:r w:rsidRPr="00DB087F">
        <w:rPr>
          <w:sz w:val="20"/>
          <w:lang w:val="es-ES"/>
        </w:rPr>
        <w:t xml:space="preserve"> e invita a las Partes y a otras entidades a que, a más tardar el 31 de octubre de 2015, formulen observaciones a la Secretaría sobre la estrategia, en particular sobre su ámbito de aplicación, las prioridades y necesidades nacionales y regionales, respecto del mecanismo para el intercambio de información y los objetivos descritos en la sección IV de la estrategia</w:t>
      </w:r>
      <w:r w:rsidRPr="00DB087F">
        <w:rPr>
          <w:iCs/>
          <w:color w:val="000000"/>
          <w:sz w:val="20"/>
          <w:lang w:val="es-ES"/>
        </w:rPr>
        <w:t xml:space="preserve">; </w:t>
      </w:r>
    </w:p>
    <w:p w:rsidR="00273FD3" w:rsidRPr="00DB087F" w:rsidRDefault="00273FD3" w:rsidP="00273FD3">
      <w:pPr>
        <w:numPr>
          <w:ilvl w:val="0"/>
          <w:numId w:val="1"/>
        </w:numPr>
        <w:tabs>
          <w:tab w:val="clear" w:pos="3215"/>
        </w:tabs>
        <w:autoSpaceDE w:val="0"/>
        <w:autoSpaceDN w:val="0"/>
        <w:adjustRightInd w:val="0"/>
        <w:spacing w:after="120"/>
        <w:ind w:left="1247" w:firstLine="624"/>
        <w:rPr>
          <w:i/>
          <w:iCs/>
          <w:color w:val="000000"/>
          <w:sz w:val="20"/>
          <w:lang w:val="es-ES"/>
        </w:rPr>
      </w:pPr>
      <w:r w:rsidRPr="00DB087F">
        <w:rPr>
          <w:i/>
          <w:sz w:val="20"/>
          <w:lang w:val="es-ES"/>
        </w:rPr>
        <w:t>Admite</w:t>
      </w:r>
      <w:r w:rsidRPr="00DB087F">
        <w:rPr>
          <w:sz w:val="20"/>
          <w:lang w:val="es-ES"/>
        </w:rPr>
        <w:t xml:space="preserve"> el papel que el mecanismo para el intercambio de información conjunto puede desempeñar en la facilitación del intercambio de información sobre la gestión racional de los productos químicos y los desechos, entre las Partes y otros interesados y en la promoción del conocimiento de los aspectos científicos, técnicos y jurídicos de los tres convenios;</w:t>
      </w:r>
      <w:r w:rsidRPr="00DB087F">
        <w:rPr>
          <w:i/>
          <w:iCs/>
          <w:color w:val="000000"/>
          <w:sz w:val="20"/>
          <w:lang w:val="es-ES"/>
        </w:rPr>
        <w:t xml:space="preserve"> </w:t>
      </w:r>
    </w:p>
    <w:p w:rsidR="00273FD3" w:rsidRPr="00DB087F" w:rsidRDefault="00273FD3" w:rsidP="00273FD3">
      <w:pPr>
        <w:numPr>
          <w:ilvl w:val="0"/>
          <w:numId w:val="1"/>
        </w:numPr>
        <w:tabs>
          <w:tab w:val="clear" w:pos="3215"/>
        </w:tabs>
        <w:autoSpaceDE w:val="0"/>
        <w:autoSpaceDN w:val="0"/>
        <w:adjustRightInd w:val="0"/>
        <w:spacing w:after="120"/>
        <w:ind w:left="1247" w:firstLine="624"/>
        <w:rPr>
          <w:iCs/>
          <w:color w:val="000000"/>
          <w:sz w:val="20"/>
          <w:lang w:val="es-ES"/>
        </w:rPr>
      </w:pPr>
      <w:r w:rsidRPr="00DB087F">
        <w:rPr>
          <w:i/>
          <w:sz w:val="20"/>
          <w:lang w:val="es-ES"/>
        </w:rPr>
        <w:t>Reconoce</w:t>
      </w:r>
      <w:r w:rsidRPr="00DB087F">
        <w:rPr>
          <w:sz w:val="20"/>
          <w:lang w:val="es-ES"/>
        </w:rPr>
        <w:t xml:space="preserve"> las dificultades en el acceso a la información y los conocimientos científicos, la insuficiente capacidad de los países en desarrollo para proporcionar aportes científicos a los diversos procesos de los convenios y la necesidad de asesoramiento científico y técnico en relación con la aplicación; y toma nota de la función que la estrategia del mecanismo para el intercambio de información puede desempeñar para hallar solución a estas cuestiones</w:t>
      </w:r>
      <w:r w:rsidRPr="00DB087F">
        <w:rPr>
          <w:iCs/>
          <w:color w:val="000000"/>
          <w:sz w:val="20"/>
          <w:lang w:val="es-ES"/>
        </w:rPr>
        <w:t xml:space="preserve">; </w:t>
      </w:r>
    </w:p>
    <w:p w:rsidR="00273FD3" w:rsidRPr="00DB087F" w:rsidRDefault="00273FD3" w:rsidP="00273FD3">
      <w:pPr>
        <w:numPr>
          <w:ilvl w:val="0"/>
          <w:numId w:val="1"/>
        </w:numPr>
        <w:tabs>
          <w:tab w:val="clear" w:pos="3215"/>
        </w:tabs>
        <w:autoSpaceDE w:val="0"/>
        <w:autoSpaceDN w:val="0"/>
        <w:adjustRightInd w:val="0"/>
        <w:spacing w:after="120"/>
        <w:ind w:left="1247" w:firstLine="624"/>
        <w:rPr>
          <w:iCs/>
          <w:color w:val="000000"/>
          <w:sz w:val="20"/>
          <w:lang w:val="es-ES"/>
        </w:rPr>
      </w:pPr>
      <w:r w:rsidRPr="00DB087F">
        <w:rPr>
          <w:i/>
          <w:sz w:val="20"/>
          <w:lang w:val="es-ES"/>
        </w:rPr>
        <w:t>Solicita</w:t>
      </w:r>
      <w:r w:rsidRPr="00DB087F">
        <w:rPr>
          <w:sz w:val="20"/>
          <w:lang w:val="es-ES"/>
        </w:rPr>
        <w:t xml:space="preserve"> a la Secretaría que</w:t>
      </w:r>
      <w:r w:rsidRPr="00DB087F">
        <w:rPr>
          <w:iCs/>
          <w:color w:val="000000"/>
          <w:sz w:val="20"/>
          <w:lang w:val="es-ES"/>
        </w:rPr>
        <w:t>:</w:t>
      </w:r>
    </w:p>
    <w:p w:rsidR="00273FD3" w:rsidRPr="00DB087F" w:rsidRDefault="00273FD3" w:rsidP="00273FD3">
      <w:pPr>
        <w:autoSpaceDE w:val="0"/>
        <w:autoSpaceDN w:val="0"/>
        <w:adjustRightInd w:val="0"/>
        <w:spacing w:after="120"/>
        <w:ind w:left="1247" w:firstLine="624"/>
        <w:rPr>
          <w:sz w:val="20"/>
          <w:lang w:val="es-ES"/>
        </w:rPr>
      </w:pPr>
      <w:r w:rsidRPr="00DB087F">
        <w:rPr>
          <w:sz w:val="20"/>
          <w:lang w:val="es-ES"/>
        </w:rPr>
        <w:t>a)</w:t>
      </w:r>
      <w:r w:rsidRPr="00DB087F">
        <w:rPr>
          <w:sz w:val="20"/>
          <w:lang w:val="es-ES"/>
        </w:rPr>
        <w:tab/>
        <w:t>Proporcione para el bienio 2016</w:t>
      </w:r>
      <w:r w:rsidRPr="00DB087F">
        <w:rPr>
          <w:sz w:val="20"/>
          <w:lang w:val="es-ES"/>
        </w:rPr>
        <w:noBreakHyphen/>
        <w:t>2017, dentro de los límites de los recursos disponibles, el acceso a la información temática pertinente a los convenios mediante el mecanismo para el intercambio de información, incluida la de las Partes y otros interesados, en las siguientes esferas prioritarias:</w:t>
      </w:r>
    </w:p>
    <w:p w:rsidR="00273FD3" w:rsidRPr="00DB087F" w:rsidRDefault="00273FD3" w:rsidP="00273FD3">
      <w:pPr>
        <w:autoSpaceDE w:val="0"/>
        <w:autoSpaceDN w:val="0"/>
        <w:adjustRightInd w:val="0"/>
        <w:spacing w:after="120"/>
        <w:ind w:left="3119" w:hanging="624"/>
        <w:rPr>
          <w:iCs/>
          <w:color w:val="000000"/>
          <w:sz w:val="20"/>
          <w:lang w:val="es-ES"/>
        </w:rPr>
      </w:pPr>
      <w:r w:rsidRPr="00DB087F">
        <w:rPr>
          <w:iCs/>
          <w:color w:val="000000"/>
          <w:sz w:val="20"/>
          <w:lang w:val="es-ES"/>
        </w:rPr>
        <w:t>i)</w:t>
      </w:r>
      <w:r w:rsidRPr="00DB087F">
        <w:rPr>
          <w:iCs/>
          <w:color w:val="000000"/>
          <w:sz w:val="20"/>
          <w:lang w:val="es-ES"/>
        </w:rPr>
        <w:tab/>
      </w:r>
      <w:r w:rsidRPr="00DB087F">
        <w:rPr>
          <w:sz w:val="20"/>
          <w:lang w:val="es-ES"/>
        </w:rPr>
        <w:t xml:space="preserve">Planes y estrategias nacionales: por ejemplo, los planes de acción </w:t>
      </w:r>
      <w:r w:rsidRPr="00DB087F">
        <w:rPr>
          <w:iCs/>
          <w:color w:val="000000"/>
          <w:sz w:val="20"/>
          <w:lang w:val="es-ES"/>
        </w:rPr>
        <w:t>nacionales</w:t>
      </w:r>
      <w:r w:rsidRPr="00DB087F">
        <w:rPr>
          <w:sz w:val="20"/>
          <w:lang w:val="es-ES"/>
        </w:rPr>
        <w:t xml:space="preserve"> en el marco del Convenio de Rotterdam y los planes nacionales de aplicación del Convenio de Estocolmo</w:t>
      </w:r>
      <w:r w:rsidRPr="00DB087F">
        <w:rPr>
          <w:iCs/>
          <w:color w:val="000000"/>
          <w:sz w:val="20"/>
          <w:lang w:val="es-ES"/>
        </w:rPr>
        <w:t>;</w:t>
      </w:r>
    </w:p>
    <w:p w:rsidR="00273FD3" w:rsidRPr="00DB087F" w:rsidRDefault="00273FD3" w:rsidP="00273FD3">
      <w:pPr>
        <w:autoSpaceDE w:val="0"/>
        <w:autoSpaceDN w:val="0"/>
        <w:adjustRightInd w:val="0"/>
        <w:spacing w:after="120"/>
        <w:ind w:left="3119" w:hanging="624"/>
        <w:rPr>
          <w:iCs/>
          <w:color w:val="000000"/>
          <w:sz w:val="20"/>
          <w:lang w:val="es-ES"/>
        </w:rPr>
      </w:pPr>
      <w:proofErr w:type="spellStart"/>
      <w:r w:rsidRPr="00DB087F">
        <w:rPr>
          <w:iCs/>
          <w:color w:val="000000"/>
          <w:sz w:val="20"/>
          <w:lang w:val="es-ES"/>
        </w:rPr>
        <w:t>ii</w:t>
      </w:r>
      <w:proofErr w:type="spellEnd"/>
      <w:r w:rsidRPr="00DB087F">
        <w:rPr>
          <w:iCs/>
          <w:color w:val="000000"/>
          <w:sz w:val="20"/>
          <w:lang w:val="es-ES"/>
        </w:rPr>
        <w:t>)</w:t>
      </w:r>
      <w:r w:rsidRPr="00DB087F">
        <w:rPr>
          <w:iCs/>
          <w:color w:val="000000"/>
          <w:sz w:val="20"/>
          <w:lang w:val="es-ES"/>
        </w:rPr>
        <w:tab/>
        <w:t>Gestión</w:t>
      </w:r>
      <w:r w:rsidRPr="00DB087F">
        <w:rPr>
          <w:sz w:val="20"/>
          <w:lang w:val="es-ES"/>
        </w:rPr>
        <w:t xml:space="preserve"> ambientalmente racional de los productos químicos y de los desechos peligrosos y otros desechos;</w:t>
      </w:r>
    </w:p>
    <w:p w:rsidR="00273FD3" w:rsidRPr="00DB087F" w:rsidRDefault="00273FD3" w:rsidP="00273FD3">
      <w:pPr>
        <w:autoSpaceDE w:val="0"/>
        <w:autoSpaceDN w:val="0"/>
        <w:adjustRightInd w:val="0"/>
        <w:spacing w:after="120"/>
        <w:ind w:left="3119" w:hanging="624"/>
        <w:rPr>
          <w:iCs/>
          <w:color w:val="000000"/>
          <w:sz w:val="20"/>
          <w:lang w:val="es-ES"/>
        </w:rPr>
      </w:pPr>
      <w:proofErr w:type="spellStart"/>
      <w:r w:rsidRPr="00DB087F">
        <w:rPr>
          <w:iCs/>
          <w:color w:val="000000"/>
          <w:sz w:val="20"/>
          <w:lang w:val="es-ES"/>
        </w:rPr>
        <w:t>iii</w:t>
      </w:r>
      <w:proofErr w:type="spellEnd"/>
      <w:r w:rsidRPr="00DB087F">
        <w:rPr>
          <w:iCs/>
          <w:color w:val="000000"/>
          <w:sz w:val="20"/>
          <w:lang w:val="es-ES"/>
        </w:rPr>
        <w:t>)</w:t>
      </w:r>
      <w:r w:rsidRPr="00DB087F">
        <w:rPr>
          <w:iCs/>
          <w:color w:val="000000"/>
          <w:sz w:val="20"/>
          <w:lang w:val="es-ES"/>
        </w:rPr>
        <w:tab/>
      </w:r>
      <w:r w:rsidRPr="00DB087F">
        <w:rPr>
          <w:sz w:val="20"/>
          <w:lang w:val="es-ES"/>
        </w:rPr>
        <w:t xml:space="preserve">Inventarios de las corrientes prioritarias de desechos, en el caso de desechos como los </w:t>
      </w:r>
      <w:r w:rsidRPr="00DB087F">
        <w:rPr>
          <w:iCs/>
          <w:color w:val="000000"/>
          <w:sz w:val="20"/>
          <w:lang w:val="es-ES"/>
        </w:rPr>
        <w:t>eléctricos</w:t>
      </w:r>
      <w:r w:rsidRPr="00DB087F">
        <w:rPr>
          <w:sz w:val="20"/>
          <w:lang w:val="es-ES"/>
        </w:rPr>
        <w:t xml:space="preserve"> y electrónicos, los desechos de mercurio y de contaminantes orgánicos persistentes y las directrices técnicas correspondientes</w:t>
      </w:r>
      <w:r w:rsidRPr="00DB087F">
        <w:rPr>
          <w:iCs/>
          <w:color w:val="000000"/>
          <w:sz w:val="20"/>
          <w:lang w:val="es-ES"/>
        </w:rPr>
        <w:t xml:space="preserve">; </w:t>
      </w:r>
    </w:p>
    <w:p w:rsidR="00273FD3" w:rsidRPr="00DB087F" w:rsidRDefault="00273FD3" w:rsidP="00273FD3">
      <w:pPr>
        <w:autoSpaceDE w:val="0"/>
        <w:autoSpaceDN w:val="0"/>
        <w:adjustRightInd w:val="0"/>
        <w:spacing w:after="120"/>
        <w:ind w:left="3119" w:hanging="624"/>
        <w:rPr>
          <w:iCs/>
          <w:color w:val="000000"/>
          <w:sz w:val="20"/>
          <w:lang w:val="es-ES"/>
        </w:rPr>
      </w:pPr>
      <w:proofErr w:type="spellStart"/>
      <w:r w:rsidRPr="00DB087F">
        <w:rPr>
          <w:iCs/>
          <w:color w:val="000000"/>
          <w:sz w:val="20"/>
          <w:lang w:val="es-ES"/>
        </w:rPr>
        <w:t>iv</w:t>
      </w:r>
      <w:proofErr w:type="spellEnd"/>
      <w:r w:rsidRPr="00DB087F">
        <w:rPr>
          <w:iCs/>
          <w:color w:val="000000"/>
          <w:sz w:val="20"/>
          <w:lang w:val="es-ES"/>
        </w:rPr>
        <w:t>)</w:t>
      </w:r>
      <w:r w:rsidRPr="00DB087F">
        <w:rPr>
          <w:iCs/>
          <w:color w:val="000000"/>
          <w:sz w:val="20"/>
          <w:lang w:val="es-ES"/>
        </w:rPr>
        <w:tab/>
      </w:r>
      <w:r w:rsidRPr="00DB087F">
        <w:rPr>
          <w:sz w:val="20"/>
          <w:lang w:val="es-ES"/>
        </w:rPr>
        <w:t>Tráfico ilícito, de conformidad con los convenios</w:t>
      </w:r>
      <w:r w:rsidRPr="00DB087F">
        <w:rPr>
          <w:iCs/>
          <w:color w:val="000000"/>
          <w:sz w:val="20"/>
          <w:lang w:val="es-ES"/>
        </w:rPr>
        <w:t>;</w:t>
      </w:r>
    </w:p>
    <w:p w:rsidR="00273FD3" w:rsidRPr="00DB087F" w:rsidRDefault="00273FD3" w:rsidP="00273FD3">
      <w:pPr>
        <w:autoSpaceDE w:val="0"/>
        <w:autoSpaceDN w:val="0"/>
        <w:adjustRightInd w:val="0"/>
        <w:spacing w:after="120"/>
        <w:ind w:left="3119" w:hanging="624"/>
        <w:rPr>
          <w:b/>
          <w:iCs/>
          <w:color w:val="000000"/>
          <w:sz w:val="20"/>
          <w:lang w:val="es-ES"/>
        </w:rPr>
      </w:pPr>
      <w:r w:rsidRPr="00DB087F">
        <w:rPr>
          <w:iCs/>
          <w:color w:val="000000"/>
          <w:sz w:val="20"/>
          <w:lang w:val="es-ES"/>
        </w:rPr>
        <w:t>v)</w:t>
      </w:r>
      <w:r w:rsidRPr="00DB087F">
        <w:rPr>
          <w:iCs/>
          <w:color w:val="000000"/>
          <w:sz w:val="20"/>
          <w:lang w:val="es-ES"/>
        </w:rPr>
        <w:tab/>
        <w:t>Contaminantes orgánicos persistentes incluidos en el Convenio de Estocolmo</w:t>
      </w:r>
      <w:r w:rsidRPr="00DB087F">
        <w:rPr>
          <w:sz w:val="20"/>
          <w:lang w:val="es-ES"/>
        </w:rPr>
        <w:t>, en particular la información relacionada con los inventarios, las exenciones, las mejores técnicas disponibles y las mejores prácticas ambientales, las evaluaciones de los riesgos y los perfiles de riesgo;</w:t>
      </w:r>
    </w:p>
    <w:p w:rsidR="00273FD3" w:rsidRPr="00DB087F" w:rsidRDefault="00273FD3" w:rsidP="00273FD3">
      <w:pPr>
        <w:autoSpaceDE w:val="0"/>
        <w:autoSpaceDN w:val="0"/>
        <w:adjustRightInd w:val="0"/>
        <w:spacing w:after="120"/>
        <w:ind w:left="3119" w:hanging="624"/>
        <w:rPr>
          <w:b/>
          <w:iCs/>
          <w:color w:val="000000"/>
          <w:sz w:val="20"/>
          <w:lang w:val="es-ES"/>
        </w:rPr>
      </w:pPr>
      <w:proofErr w:type="gramStart"/>
      <w:r w:rsidRPr="00DB087F">
        <w:rPr>
          <w:iCs/>
          <w:color w:val="000000"/>
          <w:sz w:val="20"/>
          <w:lang w:val="es-ES"/>
        </w:rPr>
        <w:t>vi</w:t>
      </w:r>
      <w:proofErr w:type="gramEnd"/>
      <w:r w:rsidRPr="00DB087F">
        <w:rPr>
          <w:iCs/>
          <w:color w:val="000000"/>
          <w:sz w:val="20"/>
          <w:lang w:val="es-ES"/>
        </w:rPr>
        <w:t>)</w:t>
      </w:r>
      <w:r w:rsidRPr="00DB087F">
        <w:rPr>
          <w:iCs/>
          <w:color w:val="000000"/>
          <w:sz w:val="20"/>
          <w:lang w:val="es-ES"/>
        </w:rPr>
        <w:tab/>
      </w:r>
      <w:r w:rsidRPr="00DB087F">
        <w:rPr>
          <w:sz w:val="20"/>
          <w:lang w:val="es-ES"/>
        </w:rPr>
        <w:t xml:space="preserve">Productos químicos incluidos en el Convenio de Rotterdam, en particular la información relacionada con los </w:t>
      </w:r>
      <w:r w:rsidRPr="00DB087F">
        <w:rPr>
          <w:iCs/>
          <w:color w:val="000000"/>
          <w:sz w:val="20"/>
          <w:lang w:val="es-ES"/>
        </w:rPr>
        <w:t>documentos</w:t>
      </w:r>
      <w:r w:rsidRPr="00DB087F">
        <w:rPr>
          <w:sz w:val="20"/>
          <w:lang w:val="es-ES"/>
        </w:rPr>
        <w:t xml:space="preserve"> de orientación para la adopción de decisiones;</w:t>
      </w:r>
      <w:r w:rsidRPr="00DB087F">
        <w:rPr>
          <w:iCs/>
          <w:color w:val="000000"/>
          <w:sz w:val="20"/>
          <w:lang w:val="es-ES"/>
        </w:rPr>
        <w:t xml:space="preserve"> </w:t>
      </w:r>
    </w:p>
    <w:p w:rsidR="00273FD3" w:rsidRPr="00DB087F" w:rsidRDefault="00273FD3" w:rsidP="00273FD3">
      <w:pPr>
        <w:autoSpaceDE w:val="0"/>
        <w:autoSpaceDN w:val="0"/>
        <w:adjustRightInd w:val="0"/>
        <w:spacing w:after="120"/>
        <w:ind w:left="3119" w:hanging="624"/>
        <w:rPr>
          <w:iCs/>
          <w:color w:val="000000"/>
          <w:sz w:val="20"/>
          <w:lang w:val="es-ES"/>
        </w:rPr>
      </w:pPr>
      <w:proofErr w:type="spellStart"/>
      <w:r w:rsidRPr="00DB087F">
        <w:rPr>
          <w:iCs/>
          <w:color w:val="000000"/>
          <w:sz w:val="20"/>
          <w:lang w:val="es-ES"/>
        </w:rPr>
        <w:t>vii</w:t>
      </w:r>
      <w:proofErr w:type="spellEnd"/>
      <w:r w:rsidRPr="00DB087F">
        <w:rPr>
          <w:iCs/>
          <w:color w:val="000000"/>
          <w:sz w:val="20"/>
          <w:lang w:val="es-ES"/>
        </w:rPr>
        <w:t>)</w:t>
      </w:r>
      <w:r w:rsidRPr="00DB087F">
        <w:rPr>
          <w:iCs/>
          <w:color w:val="000000"/>
          <w:sz w:val="20"/>
          <w:lang w:val="es-ES"/>
        </w:rPr>
        <w:tab/>
        <w:t>Presentación</w:t>
      </w:r>
      <w:r w:rsidRPr="00DB087F">
        <w:rPr>
          <w:sz w:val="20"/>
          <w:lang w:val="es-ES"/>
        </w:rPr>
        <w:t xml:space="preserve"> de informes nacionales, procedimiento de consentimiento fundamentado previo y otros procedimientos de notificación previstos en los convenios</w:t>
      </w:r>
      <w:r w:rsidRPr="00DB087F">
        <w:rPr>
          <w:iCs/>
          <w:color w:val="000000"/>
          <w:sz w:val="20"/>
          <w:lang w:val="es-ES"/>
        </w:rPr>
        <w:t>;</w:t>
      </w:r>
    </w:p>
    <w:p w:rsidR="00273FD3" w:rsidRPr="00DB087F" w:rsidRDefault="00273FD3" w:rsidP="00273FD3">
      <w:pPr>
        <w:autoSpaceDE w:val="0"/>
        <w:autoSpaceDN w:val="0"/>
        <w:adjustRightInd w:val="0"/>
        <w:spacing w:after="120"/>
        <w:ind w:left="3119" w:hanging="624"/>
        <w:rPr>
          <w:iCs/>
          <w:color w:val="000000"/>
          <w:sz w:val="20"/>
          <w:lang w:val="es-ES"/>
        </w:rPr>
      </w:pPr>
      <w:proofErr w:type="spellStart"/>
      <w:r w:rsidRPr="00DB087F">
        <w:rPr>
          <w:iCs/>
          <w:color w:val="000000"/>
          <w:sz w:val="20"/>
          <w:lang w:val="es-ES"/>
        </w:rPr>
        <w:t>viii</w:t>
      </w:r>
      <w:proofErr w:type="spellEnd"/>
      <w:r w:rsidRPr="00DB087F">
        <w:rPr>
          <w:iCs/>
          <w:color w:val="000000"/>
          <w:sz w:val="20"/>
          <w:lang w:val="es-ES"/>
        </w:rPr>
        <w:t>)</w:t>
      </w:r>
      <w:r w:rsidRPr="00DB087F">
        <w:rPr>
          <w:iCs/>
          <w:color w:val="000000"/>
          <w:sz w:val="20"/>
          <w:lang w:val="es-ES"/>
        </w:rPr>
        <w:tab/>
      </w:r>
      <w:r w:rsidRPr="00DB087F">
        <w:rPr>
          <w:sz w:val="20"/>
          <w:lang w:val="es-ES"/>
        </w:rPr>
        <w:t xml:space="preserve">Asuntos jurídicos, como las medidas reglamentarias firmes, las respuestas de los países importadores y las notificaciones previas a la exportación, como se establece en el </w:t>
      </w:r>
      <w:r w:rsidRPr="00DB087F">
        <w:rPr>
          <w:iCs/>
          <w:color w:val="000000"/>
          <w:sz w:val="20"/>
          <w:lang w:val="es-ES"/>
        </w:rPr>
        <w:t>Convenio</w:t>
      </w:r>
      <w:r w:rsidRPr="00DB087F">
        <w:rPr>
          <w:sz w:val="20"/>
          <w:lang w:val="es-ES"/>
        </w:rPr>
        <w:t xml:space="preserve"> de Rotterdam y las definiciones nacionales de desechos, la legislación nacional, los acuerdos bilaterales y multilaterales y las restricciones a la importación y exportación en el marco del Convenio de Basilea</w:t>
      </w:r>
      <w:r w:rsidRPr="00DB087F">
        <w:rPr>
          <w:iCs/>
          <w:color w:val="000000"/>
          <w:sz w:val="20"/>
          <w:lang w:val="es-ES"/>
        </w:rPr>
        <w:t>;</w:t>
      </w:r>
    </w:p>
    <w:p w:rsidR="00273FD3" w:rsidRPr="00DB087F" w:rsidRDefault="00273FD3" w:rsidP="00273FD3">
      <w:pPr>
        <w:autoSpaceDE w:val="0"/>
        <w:autoSpaceDN w:val="0"/>
        <w:adjustRightInd w:val="0"/>
        <w:spacing w:after="120"/>
        <w:ind w:left="3119" w:hanging="624"/>
        <w:rPr>
          <w:iCs/>
          <w:color w:val="000000"/>
          <w:sz w:val="20"/>
          <w:lang w:val="es-ES"/>
        </w:rPr>
      </w:pPr>
      <w:proofErr w:type="spellStart"/>
      <w:r w:rsidRPr="00DB087F">
        <w:rPr>
          <w:iCs/>
          <w:color w:val="000000"/>
          <w:sz w:val="20"/>
          <w:lang w:val="es-ES"/>
        </w:rPr>
        <w:lastRenderedPageBreak/>
        <w:t>ix</w:t>
      </w:r>
      <w:proofErr w:type="spellEnd"/>
      <w:r w:rsidRPr="00DB087F">
        <w:rPr>
          <w:iCs/>
          <w:color w:val="000000"/>
          <w:sz w:val="20"/>
          <w:lang w:val="es-ES"/>
        </w:rPr>
        <w:t>)</w:t>
      </w:r>
      <w:r w:rsidRPr="00DB087F">
        <w:rPr>
          <w:iCs/>
          <w:color w:val="000000"/>
          <w:sz w:val="20"/>
          <w:lang w:val="es-ES"/>
        </w:rPr>
        <w:tab/>
        <w:t>Transferencia</w:t>
      </w:r>
      <w:r w:rsidRPr="00DB087F">
        <w:rPr>
          <w:sz w:val="20"/>
          <w:lang w:val="es-ES"/>
        </w:rPr>
        <w:t xml:space="preserve"> de tecnología y transferencia de conocimientos especializados;</w:t>
      </w:r>
    </w:p>
    <w:p w:rsidR="00273FD3" w:rsidRPr="00DB087F" w:rsidRDefault="00273FD3" w:rsidP="00273FD3">
      <w:pPr>
        <w:autoSpaceDE w:val="0"/>
        <w:autoSpaceDN w:val="0"/>
        <w:adjustRightInd w:val="0"/>
        <w:spacing w:after="120"/>
        <w:ind w:left="3119" w:hanging="624"/>
        <w:rPr>
          <w:iCs/>
          <w:color w:val="000000"/>
          <w:sz w:val="20"/>
          <w:lang w:val="es-ES"/>
        </w:rPr>
      </w:pPr>
      <w:r w:rsidRPr="00DB087F">
        <w:rPr>
          <w:iCs/>
          <w:color w:val="000000"/>
          <w:sz w:val="20"/>
          <w:lang w:val="es-ES"/>
        </w:rPr>
        <w:t>x)</w:t>
      </w:r>
      <w:r w:rsidRPr="00DB087F">
        <w:rPr>
          <w:iCs/>
          <w:color w:val="000000"/>
          <w:sz w:val="20"/>
          <w:lang w:val="es-ES"/>
        </w:rPr>
        <w:tab/>
        <w:t>Asistencia</w:t>
      </w:r>
      <w:r w:rsidRPr="00DB087F">
        <w:rPr>
          <w:sz w:val="20"/>
          <w:lang w:val="es-ES"/>
        </w:rPr>
        <w:t xml:space="preserve"> técnica y recursos financieros disponibles</w:t>
      </w:r>
      <w:r w:rsidRPr="00DB087F">
        <w:rPr>
          <w:iCs/>
          <w:color w:val="000000"/>
          <w:sz w:val="20"/>
          <w:lang w:val="es-ES"/>
        </w:rPr>
        <w:t>;</w:t>
      </w:r>
    </w:p>
    <w:p w:rsidR="00273FD3" w:rsidRPr="00DB087F" w:rsidRDefault="00273FD3" w:rsidP="00273FD3">
      <w:pPr>
        <w:autoSpaceDE w:val="0"/>
        <w:autoSpaceDN w:val="0"/>
        <w:adjustRightInd w:val="0"/>
        <w:spacing w:after="120"/>
        <w:ind w:left="3119" w:hanging="624"/>
        <w:rPr>
          <w:iCs/>
          <w:color w:val="000000"/>
          <w:sz w:val="20"/>
          <w:lang w:val="es-ES"/>
        </w:rPr>
      </w:pPr>
      <w:r w:rsidRPr="00DB087F">
        <w:rPr>
          <w:iCs/>
          <w:color w:val="000000"/>
          <w:sz w:val="20"/>
          <w:lang w:val="es-ES"/>
        </w:rPr>
        <w:t>xi)</w:t>
      </w:r>
      <w:r w:rsidRPr="00DB087F">
        <w:rPr>
          <w:iCs/>
          <w:color w:val="000000"/>
          <w:sz w:val="20"/>
          <w:lang w:val="es-ES"/>
        </w:rPr>
        <w:tab/>
        <w:t>Centros regionales;</w:t>
      </w:r>
    </w:p>
    <w:p w:rsidR="00273FD3" w:rsidRPr="00DB087F" w:rsidRDefault="00273FD3" w:rsidP="00273FD3">
      <w:pPr>
        <w:autoSpaceDE w:val="0"/>
        <w:autoSpaceDN w:val="0"/>
        <w:adjustRightInd w:val="0"/>
        <w:spacing w:after="120"/>
        <w:ind w:left="1247" w:right="316" w:firstLine="624"/>
        <w:rPr>
          <w:sz w:val="20"/>
          <w:lang w:val="es-ES"/>
        </w:rPr>
      </w:pPr>
      <w:r w:rsidRPr="00DB087F">
        <w:rPr>
          <w:iCs/>
          <w:color w:val="000000"/>
          <w:sz w:val="20"/>
          <w:lang w:val="es-ES"/>
        </w:rPr>
        <w:tab/>
      </w:r>
      <w:r w:rsidRPr="00DB087F">
        <w:rPr>
          <w:sz w:val="20"/>
          <w:lang w:val="es-ES"/>
        </w:rPr>
        <w:t>b)</w:t>
      </w:r>
      <w:r w:rsidRPr="00DB087F">
        <w:rPr>
          <w:sz w:val="20"/>
          <w:lang w:val="es-ES"/>
        </w:rPr>
        <w:tab/>
        <w:t>Elabore, para su examen por las conferencias de las Partes en sus reuniones de 2017, una versión revisada del mecanismo conjunto de intercambio de información, teniendo en cuenta las dificultades a que se hace referencia arriba en el párrafo 4, incluida la creación de capacidad para facilitar el uso del mecanismo conjunto de intercambio de información, así como las observaciones recibidas de las Partes y otros interesados, de conformidad con el párrafo 2 precedente, y el informe del evaluador independiente.</w:t>
      </w:r>
    </w:p>
    <w:p w:rsidR="000B18ED" w:rsidRPr="00273FD3" w:rsidRDefault="000B18ED">
      <w:pPr>
        <w:rPr>
          <w:lang w:val="es-ES"/>
        </w:rPr>
      </w:pPr>
    </w:p>
    <w:sectPr w:rsidR="000B18ED" w:rsidRPr="00273FD3" w:rsidSect="000B18ED">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03C8" w:rsidRDefault="00E203C8" w:rsidP="00273FD3">
      <w:r>
        <w:separator/>
      </w:r>
    </w:p>
  </w:endnote>
  <w:endnote w:type="continuationSeparator" w:id="0">
    <w:p w:rsidR="00E203C8" w:rsidRDefault="00E203C8" w:rsidP="00273F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03C8" w:rsidRDefault="00E203C8" w:rsidP="00273FD3">
      <w:r>
        <w:separator/>
      </w:r>
    </w:p>
  </w:footnote>
  <w:footnote w:type="continuationSeparator" w:id="0">
    <w:p w:rsidR="00E203C8" w:rsidRDefault="00E203C8" w:rsidP="00273FD3">
      <w:r>
        <w:continuationSeparator/>
      </w:r>
    </w:p>
  </w:footnote>
  <w:footnote w:id="1">
    <w:p w:rsidR="00273FD3" w:rsidRPr="00DB087F" w:rsidRDefault="00273FD3" w:rsidP="00273FD3">
      <w:pPr>
        <w:pStyle w:val="FootnoteText"/>
        <w:rPr>
          <w:rStyle w:val="FootnoteReference"/>
          <w:lang w:val="es-ES"/>
        </w:rPr>
      </w:pPr>
      <w:r w:rsidRPr="00DB087F">
        <w:rPr>
          <w:rStyle w:val="FootnoteReference"/>
          <w:lang w:val="es-ES"/>
        </w:rPr>
        <w:footnoteRef/>
      </w:r>
      <w:r w:rsidRPr="00DB087F">
        <w:rPr>
          <w:szCs w:val="18"/>
          <w:lang w:val="es-ES"/>
        </w:rPr>
        <w:t xml:space="preserve"> </w:t>
      </w:r>
      <w:r w:rsidRPr="00DB087F">
        <w:rPr>
          <w:rStyle w:val="FootnoteReference"/>
          <w:szCs w:val="18"/>
          <w:lang w:val="es-ES"/>
        </w:rPr>
        <w:t>UNEP/CHW.12/INF/50</w:t>
      </w:r>
      <w:r w:rsidRPr="00DB087F">
        <w:rPr>
          <w:szCs w:val="18"/>
          <w:lang w:val="es-ES"/>
        </w:rPr>
        <w:noBreakHyphen/>
      </w:r>
      <w:r w:rsidRPr="00DB087F">
        <w:rPr>
          <w:rStyle w:val="FootnoteReference"/>
          <w:szCs w:val="18"/>
          <w:lang w:val="es-ES"/>
        </w:rPr>
        <w:t>UNEP/FAO/RC/COP.7/INF/3</w:t>
      </w:r>
      <w:r w:rsidRPr="00DB087F">
        <w:rPr>
          <w:szCs w:val="18"/>
          <w:lang w:val="es-ES"/>
        </w:rPr>
        <w:t>6</w:t>
      </w:r>
      <w:r w:rsidRPr="00DB087F">
        <w:rPr>
          <w:szCs w:val="18"/>
          <w:lang w:val="es-ES"/>
        </w:rPr>
        <w:noBreakHyphen/>
      </w:r>
      <w:r w:rsidRPr="00DB087F">
        <w:rPr>
          <w:rStyle w:val="FootnoteReference"/>
          <w:szCs w:val="18"/>
          <w:lang w:val="es-ES"/>
        </w:rPr>
        <w:t>UNEP/POPS/COP.7/INF/56.</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2B3DC4"/>
    <w:multiLevelType w:val="hybridMultilevel"/>
    <w:tmpl w:val="FA0AD612"/>
    <w:lvl w:ilvl="0" w:tplc="06703578">
      <w:start w:val="1"/>
      <w:numFmt w:val="decimal"/>
      <w:lvlText w:val="%1."/>
      <w:lvlJc w:val="left"/>
      <w:pPr>
        <w:tabs>
          <w:tab w:val="num" w:pos="3215"/>
        </w:tabs>
        <w:ind w:left="3215" w:hanging="360"/>
      </w:pPr>
      <w:rPr>
        <w:i w:val="0"/>
      </w:rPr>
    </w:lvl>
    <w:lvl w:ilvl="1" w:tplc="FFFFFFFF">
      <w:start w:val="1"/>
      <w:numFmt w:val="decimal"/>
      <w:lvlText w:val="%2."/>
      <w:lvlJc w:val="left"/>
      <w:pPr>
        <w:tabs>
          <w:tab w:val="num" w:pos="3935"/>
        </w:tabs>
        <w:ind w:left="3935" w:hanging="360"/>
      </w:pPr>
      <w:rPr>
        <w:rFonts w:hint="default"/>
      </w:rPr>
    </w:lvl>
    <w:lvl w:ilvl="2" w:tplc="FFFFFFFF">
      <w:start w:val="1"/>
      <w:numFmt w:val="lowerRoman"/>
      <w:lvlText w:val="%3."/>
      <w:lvlJc w:val="right"/>
      <w:pPr>
        <w:tabs>
          <w:tab w:val="num" w:pos="4655"/>
        </w:tabs>
        <w:ind w:left="4655" w:hanging="180"/>
      </w:pPr>
    </w:lvl>
    <w:lvl w:ilvl="3" w:tplc="FFFFFFFF" w:tentative="1">
      <w:start w:val="1"/>
      <w:numFmt w:val="decimal"/>
      <w:lvlText w:val="%4."/>
      <w:lvlJc w:val="left"/>
      <w:pPr>
        <w:tabs>
          <w:tab w:val="num" w:pos="5375"/>
        </w:tabs>
        <w:ind w:left="5375" w:hanging="360"/>
      </w:pPr>
    </w:lvl>
    <w:lvl w:ilvl="4" w:tplc="FFFFFFFF" w:tentative="1">
      <w:start w:val="1"/>
      <w:numFmt w:val="lowerLetter"/>
      <w:lvlText w:val="%5."/>
      <w:lvlJc w:val="left"/>
      <w:pPr>
        <w:tabs>
          <w:tab w:val="num" w:pos="6095"/>
        </w:tabs>
        <w:ind w:left="6095" w:hanging="360"/>
      </w:pPr>
    </w:lvl>
    <w:lvl w:ilvl="5" w:tplc="FFFFFFFF" w:tentative="1">
      <w:start w:val="1"/>
      <w:numFmt w:val="lowerRoman"/>
      <w:lvlText w:val="%6."/>
      <w:lvlJc w:val="right"/>
      <w:pPr>
        <w:tabs>
          <w:tab w:val="num" w:pos="6815"/>
        </w:tabs>
        <w:ind w:left="6815" w:hanging="180"/>
      </w:pPr>
    </w:lvl>
    <w:lvl w:ilvl="6" w:tplc="FFFFFFFF" w:tentative="1">
      <w:start w:val="1"/>
      <w:numFmt w:val="decimal"/>
      <w:lvlText w:val="%7."/>
      <w:lvlJc w:val="left"/>
      <w:pPr>
        <w:tabs>
          <w:tab w:val="num" w:pos="7535"/>
        </w:tabs>
        <w:ind w:left="7535" w:hanging="360"/>
      </w:pPr>
    </w:lvl>
    <w:lvl w:ilvl="7" w:tplc="FFFFFFFF" w:tentative="1">
      <w:start w:val="1"/>
      <w:numFmt w:val="lowerLetter"/>
      <w:lvlText w:val="%8."/>
      <w:lvlJc w:val="left"/>
      <w:pPr>
        <w:tabs>
          <w:tab w:val="num" w:pos="8255"/>
        </w:tabs>
        <w:ind w:left="8255" w:hanging="360"/>
      </w:pPr>
    </w:lvl>
    <w:lvl w:ilvl="8" w:tplc="FFFFFFFF" w:tentative="1">
      <w:start w:val="1"/>
      <w:numFmt w:val="lowerRoman"/>
      <w:lvlText w:val="%9."/>
      <w:lvlJc w:val="right"/>
      <w:pPr>
        <w:tabs>
          <w:tab w:val="num" w:pos="8975"/>
        </w:tabs>
        <w:ind w:left="897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footnotePr>
    <w:footnote w:id="-1"/>
    <w:footnote w:id="0"/>
  </w:footnotePr>
  <w:endnotePr>
    <w:endnote w:id="-1"/>
    <w:endnote w:id="0"/>
  </w:endnotePr>
  <w:compat>
    <w:useFELayout/>
  </w:compat>
  <w:rsids>
    <w:rsidRoot w:val="00273FD3"/>
    <w:rsid w:val="00045F3B"/>
    <w:rsid w:val="0009039B"/>
    <w:rsid w:val="000B18ED"/>
    <w:rsid w:val="002508C0"/>
    <w:rsid w:val="00273FD3"/>
    <w:rsid w:val="002E3F11"/>
    <w:rsid w:val="00475D4E"/>
    <w:rsid w:val="004B7AA0"/>
    <w:rsid w:val="0055191B"/>
    <w:rsid w:val="00771173"/>
    <w:rsid w:val="00B33BA9"/>
    <w:rsid w:val="00BA076F"/>
    <w:rsid w:val="00BE6CAD"/>
    <w:rsid w:val="00C21410"/>
    <w:rsid w:val="00CA155B"/>
    <w:rsid w:val="00E203C8"/>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FD3"/>
    <w:pPr>
      <w:spacing w:after="0" w:line="240" w:lineRule="auto"/>
    </w:pPr>
    <w:rPr>
      <w:rFonts w:ascii="Times New Roman" w:eastAsia="Times New Roman" w:hAnsi="Times New Roman" w:cs="Times New Roman"/>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16 Point,Superscript 6 Point,ftref,(Ref. de nota al pie),number,SUPERS,Footnote Reference Superscript,Footnote Reference1,Ref,de nota al pie,註腳內容,de nota al pie + (Asian) MS Mincho,11 pt,Ref. de nota de rodapé1"/>
    <w:rsid w:val="00273FD3"/>
    <w:rPr>
      <w:rFonts w:ascii="Times New Roman" w:hAnsi="Times New Roman" w:cs="Times New Roman"/>
      <w:color w:val="auto"/>
      <w:sz w:val="18"/>
      <w:vertAlign w:val="superscript"/>
    </w:rPr>
  </w:style>
  <w:style w:type="paragraph" w:styleId="FootnoteText">
    <w:name w:val="footnote text"/>
    <w:aliases w:val="Geneva 9,Font: Geneva 9,Boston 10,93,single space,Footnote Text Rail EIS,ft,Char,footnote3,Footnotes,Footnote ak,fn cafc,Footnotes Char Char,Footnote Text Char Char,fn Char Char,footnote text,footnote text Char Char Char Ch,Ch,9,DNV-FT2,f2"/>
    <w:basedOn w:val="Normal"/>
    <w:link w:val="FootnoteTextChar2"/>
    <w:rsid w:val="00273FD3"/>
    <w:pPr>
      <w:tabs>
        <w:tab w:val="left" w:pos="1247"/>
        <w:tab w:val="left" w:pos="1814"/>
        <w:tab w:val="left" w:pos="2381"/>
        <w:tab w:val="left" w:pos="2948"/>
        <w:tab w:val="left" w:pos="3515"/>
        <w:tab w:val="left" w:pos="4082"/>
      </w:tabs>
      <w:spacing w:before="20" w:after="40"/>
      <w:ind w:left="1247"/>
    </w:pPr>
    <w:rPr>
      <w:sz w:val="18"/>
      <w:lang w:val="fr-FR"/>
    </w:rPr>
  </w:style>
  <w:style w:type="character" w:customStyle="1" w:styleId="FootnoteTextChar">
    <w:name w:val="Footnote Text Char"/>
    <w:basedOn w:val="DefaultParagraphFont"/>
    <w:link w:val="FootnoteText"/>
    <w:uiPriority w:val="99"/>
    <w:semiHidden/>
    <w:rsid w:val="00273FD3"/>
    <w:rPr>
      <w:rFonts w:ascii="Times New Roman" w:eastAsia="Times New Roman" w:hAnsi="Times New Roman" w:cs="Times New Roman"/>
      <w:sz w:val="20"/>
      <w:szCs w:val="20"/>
      <w:lang w:eastAsia="en-US"/>
    </w:rPr>
  </w:style>
  <w:style w:type="paragraph" w:customStyle="1" w:styleId="NormalNonumber">
    <w:name w:val="Normal_No_number"/>
    <w:basedOn w:val="Normal"/>
    <w:link w:val="NormalNonumberChar"/>
    <w:rsid w:val="00273FD3"/>
    <w:pPr>
      <w:tabs>
        <w:tab w:val="left" w:pos="1247"/>
        <w:tab w:val="left" w:pos="1814"/>
        <w:tab w:val="left" w:pos="2381"/>
        <w:tab w:val="left" w:pos="2948"/>
        <w:tab w:val="left" w:pos="3515"/>
        <w:tab w:val="left" w:pos="4082"/>
      </w:tabs>
      <w:spacing w:after="120"/>
      <w:ind w:left="1247"/>
    </w:pPr>
    <w:rPr>
      <w:sz w:val="20"/>
    </w:rPr>
  </w:style>
  <w:style w:type="character" w:customStyle="1" w:styleId="FootnoteTextChar2">
    <w:name w:val="Footnote Text Char2"/>
    <w:aliases w:val="Geneva 9 Char2,Font: Geneva 9 Char2,Boston 10 Char2,93 Char1,single space Char1,Footnote Text Rail EIS Char1,ft Char1,Char Char1,footnote3 Char1,Footnotes Char1,Footnote ak Char1,fn cafc Char1,Footnotes Char Char Char1,Ch Char,9 Char"/>
    <w:link w:val="FootnoteText"/>
    <w:locked/>
    <w:rsid w:val="00273FD3"/>
    <w:rPr>
      <w:rFonts w:ascii="Times New Roman" w:eastAsia="Times New Roman" w:hAnsi="Times New Roman" w:cs="Times New Roman"/>
      <w:sz w:val="18"/>
      <w:szCs w:val="20"/>
      <w:lang w:val="fr-FR" w:eastAsia="en-US"/>
    </w:rPr>
  </w:style>
  <w:style w:type="character" w:customStyle="1" w:styleId="NormalNonumberChar">
    <w:name w:val="Normal_No_number Char"/>
    <w:link w:val="NormalNonumber"/>
    <w:locked/>
    <w:rsid w:val="00273FD3"/>
    <w:rPr>
      <w:rFonts w:ascii="Times New Roman" w:eastAsia="Times New Roman" w:hAnsi="Times New Roman" w:cs="Times New Roman"/>
      <w:sz w:val="20"/>
      <w:szCs w:val="2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622</Words>
  <Characters>3548</Characters>
  <Application>Microsoft Office Word</Application>
  <DocSecurity>0</DocSecurity>
  <Lines>29</Lines>
  <Paragraphs>8</Paragraphs>
  <ScaleCrop>false</ScaleCrop>
  <Company/>
  <LinksUpToDate>false</LinksUpToDate>
  <CharactersWithSpaces>4162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lgong</dc:creator>
  <cp:lastModifiedBy>lgong</cp:lastModifiedBy>
  <cp:revision>1</cp:revision>
  <dcterms:created xsi:type="dcterms:W3CDTF">2015-12-28T14:21:00Z</dcterms:created>
  <dcterms:modified xsi:type="dcterms:W3CDTF">2015-12-28T14:21:00Z</dcterms:modified>
</cp:coreProperties>
</file>