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B9" w:rsidRPr="007B5447" w:rsidRDefault="00753DB9" w:rsidP="00753DB9">
      <w:pPr>
        <w:tabs>
          <w:tab w:val="left" w:pos="624"/>
        </w:tabs>
        <w:spacing w:after="120"/>
        <w:ind w:left="1247"/>
        <w:rPr>
          <w:rFonts w:eastAsia="SimHei"/>
          <w:b/>
          <w:sz w:val="28"/>
          <w:szCs w:val="28"/>
          <w:lang w:eastAsia="zh-CN"/>
        </w:rPr>
      </w:pPr>
      <w:r w:rsidRPr="007B5447">
        <w:rPr>
          <w:rFonts w:eastAsia="SimHei"/>
          <w:b/>
          <w:sz w:val="28"/>
          <w:szCs w:val="28"/>
          <w:lang w:eastAsia="zh-CN"/>
        </w:rPr>
        <w:t>SC-7/17</w:t>
      </w:r>
      <w:r w:rsidRPr="007B5447">
        <w:rPr>
          <w:rFonts w:eastAsia="SimHei"/>
          <w:b/>
          <w:sz w:val="28"/>
          <w:szCs w:val="28"/>
          <w:lang w:eastAsia="zh-CN"/>
        </w:rPr>
        <w:t>：斯德哥尔摩公约区域和次区域能力建设与技术转让中心</w:t>
      </w:r>
    </w:p>
    <w:p w:rsidR="00753DB9" w:rsidRPr="00C43BAD" w:rsidRDefault="00753DB9" w:rsidP="00753DB9">
      <w:pPr>
        <w:suppressAutoHyphens/>
        <w:spacing w:after="120"/>
        <w:ind w:left="1247" w:right="284" w:firstLine="624"/>
        <w:rPr>
          <w:rFonts w:ascii="楷体" w:eastAsia="楷体" w:hAnsi="楷体"/>
          <w:iCs/>
          <w:color w:val="000000"/>
          <w:sz w:val="20"/>
          <w:szCs w:val="24"/>
          <w:lang w:val="en-US"/>
        </w:rPr>
      </w:pPr>
      <w:proofErr w:type="spellStart"/>
      <w:r w:rsidRPr="00C43BAD">
        <w:rPr>
          <w:rFonts w:ascii="楷体" w:eastAsia="楷体" w:hAnsi="楷体" w:cs="SimSun" w:hint="eastAsia"/>
          <w:iCs/>
          <w:color w:val="000000"/>
          <w:lang w:val="en-US"/>
        </w:rPr>
        <w:t>缔约方大会</w:t>
      </w:r>
      <w:proofErr w:type="spellEnd"/>
    </w:p>
    <w:p w:rsidR="00753DB9" w:rsidRPr="002B544A" w:rsidRDefault="00753DB9" w:rsidP="00753DB9">
      <w:pPr>
        <w:numPr>
          <w:ilvl w:val="0"/>
          <w:numId w:val="2"/>
        </w:numPr>
        <w:tabs>
          <w:tab w:val="left" w:pos="624"/>
        </w:tabs>
        <w:spacing w:after="120"/>
        <w:ind w:firstLine="624"/>
        <w:jc w:val="both"/>
        <w:rPr>
          <w:rFonts w:eastAsia="Arial"/>
          <w:color w:val="000000"/>
          <w:sz w:val="20"/>
          <w:lang w:eastAsia="ar-SA"/>
        </w:rPr>
      </w:pPr>
      <w:r w:rsidRPr="00C43BAD">
        <w:rPr>
          <w:rFonts w:ascii="楷体" w:eastAsia="楷体" w:hAnsi="楷体" w:cs="SimSun" w:hint="eastAsia"/>
          <w:color w:val="000000"/>
          <w:szCs w:val="24"/>
          <w:lang w:eastAsia="ar-SA"/>
        </w:rPr>
        <w:t>强调</w:t>
      </w:r>
      <w:r w:rsidRPr="002B544A">
        <w:rPr>
          <w:color w:val="000000"/>
          <w:szCs w:val="24"/>
          <w:lang w:eastAsia="zh-CN"/>
        </w:rPr>
        <w:t xml:space="preserve"> </w:t>
      </w:r>
      <w:r w:rsidRPr="002B544A">
        <w:rPr>
          <w:color w:val="000000"/>
          <w:szCs w:val="24"/>
          <w:lang w:eastAsia="zh-CN"/>
        </w:rPr>
        <w:t>区域和次区域中心在依据其职权范围，</w:t>
      </w:r>
      <w:r w:rsidRPr="002B544A">
        <w:rPr>
          <w:rFonts w:hint="eastAsia"/>
          <w:color w:val="000000"/>
          <w:szCs w:val="24"/>
          <w:lang w:eastAsia="zh-CN"/>
        </w:rPr>
        <w:t>加强</w:t>
      </w:r>
      <w:r w:rsidRPr="002B544A">
        <w:rPr>
          <w:color w:val="000000"/>
          <w:szCs w:val="24"/>
          <w:lang w:eastAsia="zh-CN"/>
        </w:rPr>
        <w:t>能力</w:t>
      </w:r>
      <w:r w:rsidRPr="002B544A">
        <w:rPr>
          <w:rFonts w:hint="eastAsia"/>
          <w:color w:val="000000"/>
          <w:szCs w:val="24"/>
          <w:lang w:eastAsia="zh-CN"/>
        </w:rPr>
        <w:t>建设</w:t>
      </w:r>
      <w:r w:rsidRPr="002B544A">
        <w:rPr>
          <w:color w:val="000000"/>
          <w:szCs w:val="24"/>
          <w:lang w:eastAsia="zh-CN"/>
        </w:rPr>
        <w:t>的技术援助，以支持发展中国家和经济转型国家努力执行各项化学与废物公约方面的作用</w:t>
      </w:r>
      <w:r w:rsidRPr="002B544A">
        <w:rPr>
          <w:rFonts w:hint="eastAsia"/>
          <w:color w:val="000000"/>
          <w:szCs w:val="24"/>
          <w:lang w:eastAsia="zh-CN"/>
        </w:rPr>
        <w:t>；</w:t>
      </w:r>
    </w:p>
    <w:p w:rsidR="00753DB9" w:rsidRPr="002B544A" w:rsidRDefault="00753DB9" w:rsidP="00753DB9">
      <w:pPr>
        <w:numPr>
          <w:ilvl w:val="0"/>
          <w:numId w:val="2"/>
        </w:numPr>
        <w:tabs>
          <w:tab w:val="left" w:pos="624"/>
        </w:tabs>
        <w:spacing w:after="120"/>
        <w:ind w:firstLine="624"/>
        <w:jc w:val="both"/>
        <w:rPr>
          <w:rFonts w:eastAsia="Arial"/>
          <w:color w:val="000000"/>
          <w:sz w:val="20"/>
          <w:lang w:eastAsia="ar-SA"/>
        </w:rPr>
      </w:pPr>
      <w:r w:rsidRPr="00C43BAD">
        <w:rPr>
          <w:rFonts w:ascii="楷体" w:eastAsia="楷体" w:hAnsi="楷体" w:cs="SimSun" w:hint="eastAsia"/>
          <w:color w:val="000000"/>
          <w:szCs w:val="24"/>
          <w:lang w:eastAsia="zh-CN"/>
        </w:rPr>
        <w:t>强调</w:t>
      </w:r>
      <w:r w:rsidRPr="002B544A">
        <w:rPr>
          <w:color w:val="000000"/>
          <w:szCs w:val="24"/>
          <w:lang w:eastAsia="zh-CN"/>
        </w:rPr>
        <w:t xml:space="preserve"> </w:t>
      </w:r>
      <w:r w:rsidRPr="002B544A">
        <w:rPr>
          <w:color w:val="000000"/>
          <w:szCs w:val="24"/>
          <w:lang w:eastAsia="zh-CN"/>
        </w:rPr>
        <w:t>区域中心在促进与执行《斯德哥尔摩公约》有关的技术转让方面的作用，并请其在有能力提供援助的专长领域开展相互合作与协调</w:t>
      </w:r>
      <w:r w:rsidRPr="002B544A">
        <w:rPr>
          <w:rFonts w:hint="eastAsia"/>
          <w:color w:val="000000"/>
          <w:szCs w:val="24"/>
          <w:lang w:eastAsia="zh-CN"/>
        </w:rPr>
        <w:t>；</w:t>
      </w:r>
    </w:p>
    <w:p w:rsidR="00753DB9" w:rsidRPr="002B544A" w:rsidRDefault="00753DB9" w:rsidP="00753DB9">
      <w:pPr>
        <w:numPr>
          <w:ilvl w:val="0"/>
          <w:numId w:val="2"/>
        </w:numPr>
        <w:tabs>
          <w:tab w:val="left" w:pos="624"/>
        </w:tabs>
        <w:spacing w:after="120"/>
        <w:ind w:firstLine="624"/>
        <w:jc w:val="both"/>
        <w:rPr>
          <w:rFonts w:eastAsia="Arial"/>
          <w:color w:val="000000"/>
          <w:sz w:val="20"/>
          <w:lang w:eastAsia="ar-SA"/>
        </w:rPr>
      </w:pPr>
      <w:r w:rsidRPr="00C43BAD">
        <w:rPr>
          <w:rFonts w:ascii="楷体" w:eastAsia="楷体" w:hAnsi="楷体" w:cs="SimSun" w:hint="eastAsia"/>
          <w:color w:val="000000"/>
          <w:szCs w:val="24"/>
          <w:lang w:eastAsia="ar-SA"/>
        </w:rPr>
        <w:t>回顾</w:t>
      </w:r>
      <w:r w:rsidRPr="002B544A">
        <w:rPr>
          <w:rFonts w:ascii="SimSun" w:hAnsi="SimSun" w:cs="SimSun" w:hint="eastAsia"/>
          <w:color w:val="000000"/>
          <w:szCs w:val="24"/>
          <w:lang w:eastAsia="zh-CN"/>
        </w:rPr>
        <w:t xml:space="preserve"> </w:t>
      </w:r>
      <w:r w:rsidRPr="002B544A">
        <w:rPr>
          <w:color w:val="000000"/>
          <w:szCs w:val="24"/>
          <w:lang w:eastAsia="zh-CN"/>
        </w:rPr>
        <w:t>2013</w:t>
      </w:r>
      <w:r w:rsidRPr="002B544A">
        <w:rPr>
          <w:color w:val="000000"/>
          <w:szCs w:val="24"/>
          <w:lang w:eastAsia="zh-CN"/>
        </w:rPr>
        <w:t>年</w:t>
      </w:r>
      <w:r w:rsidRPr="002B544A">
        <w:rPr>
          <w:rFonts w:hint="eastAsia"/>
          <w:color w:val="000000"/>
          <w:szCs w:val="24"/>
          <w:lang w:eastAsia="zh-CN"/>
        </w:rPr>
        <w:t>各缔约方大会</w:t>
      </w:r>
      <w:r w:rsidRPr="002B544A">
        <w:rPr>
          <w:color w:val="000000"/>
          <w:szCs w:val="24"/>
          <w:lang w:eastAsia="zh-CN"/>
        </w:rPr>
        <w:t>同期特别会议上通过的关于提升</w:t>
      </w:r>
      <w:r w:rsidRPr="002B544A">
        <w:rPr>
          <w:rFonts w:ascii="SimSun" w:hAnsi="SimSun" w:cs="SimSun" w:hint="eastAsia"/>
          <w:szCs w:val="24"/>
          <w:lang w:eastAsia="zh-CN"/>
        </w:rPr>
        <w:t>《</w:t>
      </w:r>
      <w:r w:rsidRPr="002B544A">
        <w:rPr>
          <w:szCs w:val="24"/>
          <w:lang w:eastAsia="zh-CN"/>
        </w:rPr>
        <w:t>危险废物越境转移及其处置巴塞尔公约》、《关于在国际贸易中对某些危险化学品和农药采用事先知情同意程序的鹿特丹公约》和《关于持久性有机污染物的斯德哥尔摩公约</w:t>
      </w:r>
      <w:r w:rsidRPr="002B544A">
        <w:rPr>
          <w:rFonts w:ascii="SimSun" w:hAnsi="SimSun" w:cs="SimSun" w:hint="eastAsia"/>
          <w:szCs w:val="24"/>
          <w:lang w:eastAsia="zh-CN"/>
        </w:rPr>
        <w:t>》</w:t>
      </w:r>
      <w:r w:rsidRPr="002B544A">
        <w:rPr>
          <w:color w:val="000000"/>
          <w:szCs w:val="24"/>
          <w:lang w:eastAsia="zh-CN"/>
        </w:rPr>
        <w:t>之间的合作与协调的总括决定，</w:t>
      </w:r>
      <w:r w:rsidRPr="002B544A">
        <w:rPr>
          <w:rFonts w:eastAsia="Arial"/>
          <w:color w:val="000000"/>
          <w:szCs w:val="24"/>
          <w:vertAlign w:val="superscript"/>
          <w:lang w:eastAsia="ar-SA"/>
        </w:rPr>
        <w:footnoteReference w:id="1"/>
      </w:r>
      <w:r w:rsidRPr="002B544A">
        <w:rPr>
          <w:rFonts w:eastAsia="Arial"/>
          <w:color w:val="000000"/>
          <w:szCs w:val="24"/>
          <w:lang w:eastAsia="ar-SA"/>
        </w:rPr>
        <w:t xml:space="preserve"> </w:t>
      </w:r>
      <w:r w:rsidRPr="002B544A">
        <w:rPr>
          <w:rFonts w:ascii="SimSun" w:hAnsi="SimSun" w:cs="SimSun" w:hint="eastAsia"/>
          <w:color w:val="000000"/>
          <w:szCs w:val="24"/>
          <w:lang w:eastAsia="ar-SA"/>
        </w:rPr>
        <w:t>各缔约方大会在该决定中就审查协同增效安排的后续工作提出建议，</w:t>
      </w:r>
      <w:r w:rsidRPr="002B544A">
        <w:rPr>
          <w:rFonts w:ascii="SimSun" w:hAnsi="SimSun" w:cs="SimSun" w:hint="eastAsia"/>
          <w:color w:val="000000"/>
          <w:szCs w:val="24"/>
          <w:lang w:eastAsia="zh-CN"/>
        </w:rPr>
        <w:t>其中</w:t>
      </w:r>
      <w:r w:rsidRPr="002B544A">
        <w:rPr>
          <w:rFonts w:ascii="SimSun" w:hAnsi="SimSun" w:cs="SimSun" w:hint="eastAsia"/>
          <w:color w:val="000000"/>
          <w:szCs w:val="24"/>
          <w:lang w:eastAsia="ar-SA"/>
        </w:rPr>
        <w:t>除其他外，强调应当在国家和区域级别提升协同增效，尤其重视加强斯德哥尔摩公约与巴塞尔公约区域中心的合作与协调以及合理化</w:t>
      </w:r>
      <w:r w:rsidRPr="002B544A">
        <w:rPr>
          <w:rFonts w:ascii="SimSun" w:hAnsi="SimSun" w:cs="SimSun" w:hint="eastAsia"/>
          <w:color w:val="000000"/>
          <w:szCs w:val="24"/>
          <w:lang w:eastAsia="zh-CN"/>
        </w:rPr>
        <w:t>；</w:t>
      </w:r>
    </w:p>
    <w:p w:rsidR="00753DB9" w:rsidRPr="002B544A" w:rsidRDefault="00753DB9" w:rsidP="00753DB9">
      <w:pPr>
        <w:numPr>
          <w:ilvl w:val="0"/>
          <w:numId w:val="2"/>
        </w:numPr>
        <w:tabs>
          <w:tab w:val="left" w:pos="624"/>
        </w:tabs>
        <w:spacing w:after="120"/>
        <w:ind w:firstLine="624"/>
        <w:jc w:val="both"/>
        <w:rPr>
          <w:rFonts w:eastAsia="Arial"/>
          <w:color w:val="000000"/>
          <w:sz w:val="20"/>
          <w:lang w:eastAsia="ar-SA"/>
        </w:rPr>
      </w:pPr>
      <w:r w:rsidRPr="00C43BAD">
        <w:rPr>
          <w:rFonts w:ascii="楷体" w:eastAsia="楷体" w:hAnsi="楷体" w:cs="SimSun" w:hint="eastAsia"/>
          <w:color w:val="000000"/>
          <w:szCs w:val="24"/>
          <w:lang w:eastAsia="ar-SA"/>
        </w:rPr>
        <w:t>欢迎</w:t>
      </w:r>
      <w:r w:rsidRPr="002B544A">
        <w:rPr>
          <w:color w:val="000000"/>
          <w:szCs w:val="24"/>
          <w:lang w:eastAsia="zh-CN"/>
        </w:rPr>
        <w:t xml:space="preserve"> </w:t>
      </w:r>
      <w:r w:rsidRPr="002B544A">
        <w:rPr>
          <w:rFonts w:ascii="SimSun" w:hAnsi="SimSun" w:cs="SimSun" w:hint="eastAsia"/>
          <w:color w:val="000000"/>
          <w:szCs w:val="24"/>
          <w:lang w:eastAsia="ar-SA"/>
        </w:rPr>
        <w:t>联合国环境大会关于化学品与废物的第</w:t>
      </w:r>
      <w:r w:rsidRPr="002B544A">
        <w:rPr>
          <w:rFonts w:eastAsia="Arial"/>
          <w:color w:val="000000"/>
          <w:szCs w:val="24"/>
          <w:lang w:eastAsia="ar-SA"/>
        </w:rPr>
        <w:t>1</w:t>
      </w:r>
      <w:r w:rsidRPr="002B544A">
        <w:rPr>
          <w:color w:val="000000"/>
          <w:szCs w:val="24"/>
          <w:lang w:eastAsia="zh-CN"/>
        </w:rPr>
        <w:t>/5</w:t>
      </w:r>
      <w:r w:rsidRPr="002B544A">
        <w:rPr>
          <w:color w:val="000000"/>
          <w:szCs w:val="24"/>
          <w:lang w:eastAsia="zh-CN"/>
        </w:rPr>
        <w:t>号决议，</w:t>
      </w:r>
      <w:r w:rsidRPr="002B544A">
        <w:rPr>
          <w:rFonts w:hint="eastAsia"/>
          <w:color w:val="000000"/>
          <w:szCs w:val="24"/>
          <w:lang w:eastAsia="zh-CN"/>
        </w:rPr>
        <w:t>环境</w:t>
      </w:r>
      <w:r w:rsidRPr="002B544A">
        <w:rPr>
          <w:color w:val="000000"/>
          <w:szCs w:val="24"/>
          <w:lang w:eastAsia="zh-CN"/>
        </w:rPr>
        <w:t>大会在</w:t>
      </w:r>
      <w:r w:rsidRPr="002B544A">
        <w:rPr>
          <w:rFonts w:hint="eastAsia"/>
          <w:color w:val="000000"/>
          <w:szCs w:val="24"/>
          <w:lang w:eastAsia="zh-CN"/>
        </w:rPr>
        <w:t>该项</w:t>
      </w:r>
      <w:r w:rsidRPr="002B544A">
        <w:rPr>
          <w:color w:val="000000"/>
          <w:szCs w:val="24"/>
          <w:lang w:eastAsia="zh-CN"/>
        </w:rPr>
        <w:t>决议中承认巴塞尔和斯德哥尔摩公约区域中心在支持各项公约执行方面的作用</w:t>
      </w:r>
      <w:r w:rsidRPr="002B544A">
        <w:rPr>
          <w:rFonts w:hint="eastAsia"/>
          <w:color w:val="000000"/>
          <w:szCs w:val="24"/>
          <w:lang w:eastAsia="zh-CN"/>
        </w:rPr>
        <w:t>；</w:t>
      </w:r>
    </w:p>
    <w:p w:rsidR="00753DB9" w:rsidRPr="002B544A" w:rsidRDefault="00753DB9" w:rsidP="00753DB9">
      <w:pPr>
        <w:numPr>
          <w:ilvl w:val="0"/>
          <w:numId w:val="2"/>
        </w:numPr>
        <w:tabs>
          <w:tab w:val="left" w:pos="624"/>
        </w:tabs>
        <w:spacing w:after="120"/>
        <w:ind w:firstLine="624"/>
        <w:jc w:val="both"/>
        <w:rPr>
          <w:rFonts w:eastAsia="Arial"/>
          <w:color w:val="000000"/>
          <w:sz w:val="20"/>
          <w:lang w:eastAsia="ar-SA"/>
        </w:rPr>
      </w:pPr>
      <w:r w:rsidRPr="00C43BAD">
        <w:rPr>
          <w:rFonts w:ascii="楷体" w:eastAsia="楷体" w:hAnsi="楷体" w:cs="SimSun" w:hint="eastAsia"/>
          <w:iCs/>
          <w:color w:val="000000"/>
          <w:szCs w:val="24"/>
          <w:lang w:eastAsia="zh-CN"/>
        </w:rPr>
        <w:t>考虑到</w:t>
      </w:r>
      <w:r w:rsidRPr="002B544A">
        <w:rPr>
          <w:iCs/>
          <w:color w:val="000000"/>
          <w:szCs w:val="24"/>
          <w:lang w:eastAsia="zh-CN"/>
        </w:rPr>
        <w:t xml:space="preserve"> </w:t>
      </w:r>
      <w:r w:rsidRPr="002B544A">
        <w:rPr>
          <w:iCs/>
          <w:color w:val="000000"/>
          <w:szCs w:val="24"/>
          <w:lang w:eastAsia="zh-CN"/>
        </w:rPr>
        <w:t>联合国可持续发展大会的题为</w:t>
      </w:r>
      <w:r w:rsidRPr="002B544A">
        <w:rPr>
          <w:rFonts w:hint="eastAsia"/>
          <w:iCs/>
          <w:color w:val="000000"/>
          <w:szCs w:val="24"/>
          <w:lang w:eastAsia="zh-CN"/>
        </w:rPr>
        <w:t>“</w:t>
      </w:r>
      <w:r w:rsidRPr="002B544A">
        <w:rPr>
          <w:iCs/>
          <w:color w:val="000000"/>
          <w:szCs w:val="24"/>
          <w:lang w:eastAsia="zh-CN"/>
        </w:rPr>
        <w:t>我们</w:t>
      </w:r>
      <w:r w:rsidRPr="002B544A">
        <w:rPr>
          <w:rFonts w:hint="eastAsia"/>
          <w:iCs/>
          <w:color w:val="000000"/>
          <w:szCs w:val="24"/>
          <w:lang w:eastAsia="zh-CN"/>
        </w:rPr>
        <w:t>希望</w:t>
      </w:r>
      <w:r w:rsidRPr="002B544A">
        <w:rPr>
          <w:iCs/>
          <w:color w:val="000000"/>
          <w:szCs w:val="24"/>
          <w:lang w:eastAsia="zh-CN"/>
        </w:rPr>
        <w:t>的未来</w:t>
      </w:r>
      <w:r w:rsidRPr="002B544A">
        <w:rPr>
          <w:rFonts w:hint="eastAsia"/>
          <w:iCs/>
          <w:color w:val="000000"/>
          <w:szCs w:val="24"/>
          <w:lang w:eastAsia="zh-CN"/>
        </w:rPr>
        <w:t>”</w:t>
      </w:r>
      <w:r w:rsidRPr="002B544A">
        <w:rPr>
          <w:iCs/>
          <w:color w:val="000000"/>
          <w:szCs w:val="24"/>
          <w:lang w:eastAsia="zh-CN"/>
        </w:rPr>
        <w:t>的成果文件，着重指出化学品与废物无害管理在促进可持续发展方面可发挥的重要作用并强调其与</w:t>
      </w:r>
      <w:r w:rsidRPr="002B544A">
        <w:rPr>
          <w:iCs/>
          <w:color w:val="000000"/>
          <w:szCs w:val="24"/>
          <w:lang w:eastAsia="zh-CN"/>
        </w:rPr>
        <w:t>2015</w:t>
      </w:r>
      <w:r w:rsidRPr="002B544A">
        <w:rPr>
          <w:iCs/>
          <w:color w:val="000000"/>
          <w:szCs w:val="24"/>
          <w:lang w:eastAsia="zh-CN"/>
        </w:rPr>
        <w:t>年后发展议程密切相关</w:t>
      </w:r>
      <w:r w:rsidRPr="002B544A">
        <w:rPr>
          <w:rFonts w:hint="eastAsia"/>
          <w:iCs/>
          <w:color w:val="000000"/>
          <w:szCs w:val="24"/>
          <w:lang w:eastAsia="zh-CN"/>
        </w:rPr>
        <w:t>；</w:t>
      </w:r>
    </w:p>
    <w:p w:rsidR="00753DB9" w:rsidRPr="002B544A" w:rsidRDefault="00753DB9" w:rsidP="00753DB9">
      <w:pPr>
        <w:numPr>
          <w:ilvl w:val="0"/>
          <w:numId w:val="2"/>
        </w:numPr>
        <w:tabs>
          <w:tab w:val="left" w:pos="624"/>
        </w:tabs>
        <w:spacing w:after="120"/>
        <w:ind w:firstLine="624"/>
        <w:jc w:val="both"/>
        <w:rPr>
          <w:rFonts w:eastAsia="Calibri"/>
          <w:b/>
          <w:color w:val="000000"/>
          <w:szCs w:val="24"/>
        </w:rPr>
      </w:pPr>
      <w:r w:rsidRPr="00C43BAD">
        <w:rPr>
          <w:rFonts w:ascii="楷体" w:eastAsia="楷体" w:hAnsi="楷体" w:hint="eastAsia"/>
          <w:color w:val="000000"/>
          <w:szCs w:val="24"/>
          <w:lang w:eastAsia="zh-CN"/>
        </w:rPr>
        <w:t>注意到</w:t>
      </w:r>
      <w:r w:rsidRPr="002B544A">
        <w:rPr>
          <w:rFonts w:hint="eastAsia"/>
          <w:color w:val="000000"/>
          <w:szCs w:val="24"/>
          <w:lang w:eastAsia="zh-CN"/>
        </w:rPr>
        <w:t>：</w:t>
      </w:r>
    </w:p>
    <w:p w:rsidR="00753DB9" w:rsidRPr="002B544A" w:rsidRDefault="00753DB9" w:rsidP="00753DB9">
      <w:pPr>
        <w:keepNext/>
        <w:keepLines/>
        <w:tabs>
          <w:tab w:val="left" w:pos="624"/>
        </w:tabs>
        <w:spacing w:after="120"/>
        <w:ind w:left="1247" w:firstLine="624"/>
        <w:rPr>
          <w:color w:val="000000"/>
          <w:szCs w:val="24"/>
          <w:lang w:eastAsia="zh-CN"/>
        </w:rPr>
      </w:pPr>
      <w:r w:rsidRPr="002B544A">
        <w:rPr>
          <w:color w:val="000000"/>
          <w:szCs w:val="24"/>
          <w:lang w:eastAsia="zh-CN"/>
        </w:rPr>
        <w:t>(a)</w:t>
      </w:r>
      <w:r w:rsidRPr="002B544A">
        <w:rPr>
          <w:color w:val="000000"/>
          <w:szCs w:val="24"/>
          <w:lang w:eastAsia="zh-CN"/>
        </w:rPr>
        <w:tab/>
      </w:r>
      <w:r w:rsidRPr="002B544A">
        <w:rPr>
          <w:color w:val="000000"/>
          <w:szCs w:val="24"/>
          <w:lang w:eastAsia="zh-CN"/>
        </w:rPr>
        <w:t>秘书处说明中提供的关于斯德哥尔摩公约区域和次区域能力建设与技术转让中心的信息</w:t>
      </w:r>
      <w:r w:rsidRPr="002B544A">
        <w:rPr>
          <w:rFonts w:hint="eastAsia"/>
          <w:color w:val="000000"/>
          <w:szCs w:val="24"/>
          <w:lang w:eastAsia="zh-CN"/>
        </w:rPr>
        <w:t>；</w:t>
      </w:r>
      <w:r w:rsidRPr="002B544A">
        <w:rPr>
          <w:color w:val="000000"/>
          <w:szCs w:val="24"/>
          <w:vertAlign w:val="superscript"/>
        </w:rPr>
        <w:footnoteReference w:id="2"/>
      </w:r>
    </w:p>
    <w:p w:rsidR="00753DB9" w:rsidRPr="002B544A" w:rsidRDefault="00753DB9" w:rsidP="00753DB9">
      <w:pPr>
        <w:tabs>
          <w:tab w:val="left" w:pos="624"/>
        </w:tabs>
        <w:spacing w:after="120"/>
        <w:ind w:left="1247" w:firstLine="624"/>
        <w:rPr>
          <w:color w:val="000000"/>
          <w:szCs w:val="24"/>
          <w:lang w:eastAsia="zh-CN"/>
        </w:rPr>
      </w:pPr>
      <w:r w:rsidRPr="002B544A">
        <w:rPr>
          <w:color w:val="000000"/>
          <w:szCs w:val="24"/>
          <w:lang w:eastAsia="zh-CN"/>
        </w:rPr>
        <w:t>(b)</w:t>
      </w:r>
      <w:r w:rsidRPr="002B544A">
        <w:rPr>
          <w:color w:val="000000"/>
          <w:szCs w:val="24"/>
          <w:lang w:eastAsia="zh-CN"/>
        </w:rPr>
        <w:tab/>
      </w:r>
      <w:r w:rsidRPr="002B544A">
        <w:rPr>
          <w:color w:val="000000"/>
          <w:szCs w:val="24"/>
          <w:lang w:eastAsia="zh-CN"/>
        </w:rPr>
        <w:t>斯德哥尔摩公约区域和次区域中心提交的</w:t>
      </w:r>
      <w:r w:rsidRPr="002B544A">
        <w:rPr>
          <w:color w:val="000000"/>
          <w:szCs w:val="24"/>
          <w:lang w:eastAsia="zh-CN"/>
        </w:rPr>
        <w:t>2014-2015</w:t>
      </w:r>
      <w:r w:rsidRPr="002B544A">
        <w:rPr>
          <w:color w:val="000000"/>
          <w:szCs w:val="24"/>
          <w:lang w:eastAsia="zh-CN"/>
        </w:rPr>
        <w:t>两年期工作计划</w:t>
      </w:r>
      <w:r w:rsidRPr="002B544A">
        <w:rPr>
          <w:color w:val="000000"/>
          <w:szCs w:val="24"/>
          <w:vertAlign w:val="superscript"/>
        </w:rPr>
        <w:footnoteReference w:id="3"/>
      </w:r>
      <w:r w:rsidRPr="002B544A">
        <w:rPr>
          <w:color w:val="000000"/>
          <w:szCs w:val="24"/>
          <w:lang w:eastAsia="zh-CN"/>
        </w:rPr>
        <w:t>及</w:t>
      </w:r>
      <w:r w:rsidRPr="002B544A">
        <w:rPr>
          <w:color w:val="000000"/>
          <w:szCs w:val="24"/>
          <w:lang w:eastAsia="zh-CN"/>
        </w:rPr>
        <w:t>2013-2014</w:t>
      </w:r>
      <w:r w:rsidRPr="002B544A">
        <w:rPr>
          <w:color w:val="000000"/>
          <w:szCs w:val="24"/>
          <w:lang w:eastAsia="zh-CN"/>
        </w:rPr>
        <w:t>年期间的活动报告</w:t>
      </w:r>
      <w:r w:rsidRPr="002B544A">
        <w:rPr>
          <w:rFonts w:hint="eastAsia"/>
          <w:color w:val="000000"/>
          <w:szCs w:val="24"/>
          <w:lang w:eastAsia="zh-CN"/>
        </w:rPr>
        <w:t>；</w:t>
      </w:r>
      <w:r w:rsidRPr="002B544A">
        <w:rPr>
          <w:color w:val="000000"/>
          <w:szCs w:val="24"/>
          <w:vertAlign w:val="superscript"/>
        </w:rPr>
        <w:footnoteReference w:id="4"/>
      </w:r>
      <w:r w:rsidRPr="002B544A">
        <w:rPr>
          <w:color w:val="000000"/>
          <w:szCs w:val="24"/>
          <w:vertAlign w:val="superscript"/>
          <w:lang w:eastAsia="zh-CN"/>
        </w:rPr>
        <w:t xml:space="preserve"> </w:t>
      </w:r>
    </w:p>
    <w:p w:rsidR="00753DB9" w:rsidRPr="002B544A" w:rsidRDefault="00753DB9" w:rsidP="00753DB9">
      <w:pPr>
        <w:tabs>
          <w:tab w:val="left" w:pos="624"/>
        </w:tabs>
        <w:spacing w:after="120"/>
        <w:ind w:left="1247" w:firstLine="624"/>
        <w:rPr>
          <w:iCs/>
          <w:color w:val="000000"/>
          <w:szCs w:val="24"/>
          <w:lang w:eastAsia="zh-CN"/>
        </w:rPr>
      </w:pPr>
      <w:r w:rsidRPr="002B544A">
        <w:rPr>
          <w:color w:val="000000"/>
          <w:szCs w:val="24"/>
          <w:lang w:eastAsia="zh-CN"/>
        </w:rPr>
        <w:t>(c)</w:t>
      </w:r>
      <w:r w:rsidRPr="002B544A">
        <w:rPr>
          <w:color w:val="000000"/>
          <w:szCs w:val="24"/>
          <w:lang w:eastAsia="zh-CN"/>
        </w:rPr>
        <w:tab/>
      </w:r>
      <w:r w:rsidRPr="002B544A">
        <w:rPr>
          <w:color w:val="000000"/>
          <w:szCs w:val="24"/>
          <w:lang w:eastAsia="zh-CN"/>
        </w:rPr>
        <w:t>秘书处编写的</w:t>
      </w:r>
      <w:r w:rsidRPr="002B544A">
        <w:rPr>
          <w:color w:val="000000"/>
          <w:szCs w:val="24"/>
          <w:lang w:eastAsia="zh-CN"/>
        </w:rPr>
        <w:t>16</w:t>
      </w:r>
      <w:r w:rsidRPr="002B544A">
        <w:rPr>
          <w:color w:val="000000"/>
          <w:szCs w:val="24"/>
          <w:lang w:eastAsia="zh-CN"/>
        </w:rPr>
        <w:t>个斯德哥尔摩公约区域和次区域中心的绩效及可持续性评估报告草案全文</w:t>
      </w:r>
      <w:r w:rsidRPr="002B544A">
        <w:rPr>
          <w:iCs/>
          <w:color w:val="000000"/>
          <w:szCs w:val="24"/>
          <w:vertAlign w:val="superscript"/>
        </w:rPr>
        <w:footnoteReference w:id="5"/>
      </w:r>
      <w:r w:rsidRPr="002B544A">
        <w:rPr>
          <w:color w:val="000000"/>
          <w:szCs w:val="24"/>
          <w:lang w:eastAsia="zh-CN"/>
        </w:rPr>
        <w:t>及评估报告草案摘要</w:t>
      </w:r>
      <w:r w:rsidRPr="002B544A">
        <w:rPr>
          <w:rFonts w:hint="eastAsia"/>
          <w:color w:val="000000"/>
          <w:szCs w:val="24"/>
          <w:lang w:eastAsia="zh-CN"/>
        </w:rPr>
        <w:t>；</w:t>
      </w:r>
      <w:r w:rsidRPr="002B544A">
        <w:rPr>
          <w:color w:val="000000"/>
          <w:szCs w:val="24"/>
          <w:vertAlign w:val="superscript"/>
        </w:rPr>
        <w:footnoteReference w:id="6"/>
      </w:r>
    </w:p>
    <w:p w:rsidR="00753DB9" w:rsidRPr="002B544A" w:rsidRDefault="00753DB9" w:rsidP="00753DB9">
      <w:pPr>
        <w:tabs>
          <w:tab w:val="left" w:pos="624"/>
        </w:tabs>
        <w:spacing w:after="120"/>
        <w:ind w:left="1247" w:firstLine="624"/>
        <w:rPr>
          <w:b/>
          <w:iCs/>
          <w:color w:val="000000"/>
          <w:sz w:val="20"/>
          <w:lang w:eastAsia="zh-CN"/>
        </w:rPr>
      </w:pPr>
      <w:r w:rsidRPr="002B544A">
        <w:rPr>
          <w:iCs/>
          <w:color w:val="000000"/>
          <w:szCs w:val="24"/>
          <w:lang w:eastAsia="zh-CN"/>
        </w:rPr>
        <w:t xml:space="preserve">(d) </w:t>
      </w:r>
      <w:r w:rsidRPr="002B544A">
        <w:rPr>
          <w:iCs/>
          <w:color w:val="000000"/>
          <w:szCs w:val="24"/>
          <w:lang w:eastAsia="zh-CN"/>
        </w:rPr>
        <w:tab/>
      </w:r>
      <w:r w:rsidRPr="002B544A">
        <w:rPr>
          <w:color w:val="000000"/>
          <w:szCs w:val="24"/>
          <w:lang w:eastAsia="zh-CN"/>
        </w:rPr>
        <w:t>区域和次区域中心的</w:t>
      </w:r>
      <w:r w:rsidRPr="002B544A">
        <w:rPr>
          <w:rFonts w:hint="eastAsia"/>
          <w:color w:val="000000"/>
          <w:szCs w:val="24"/>
          <w:lang w:eastAsia="zh-CN"/>
        </w:rPr>
        <w:t>活动报告</w:t>
      </w:r>
      <w:r w:rsidRPr="002B544A">
        <w:rPr>
          <w:rFonts w:hint="eastAsia"/>
          <w:color w:val="000000"/>
          <w:lang w:eastAsia="zh-CN"/>
        </w:rPr>
        <w:t>；</w:t>
      </w:r>
      <w:r w:rsidRPr="002B544A">
        <w:rPr>
          <w:iCs/>
          <w:color w:val="000000"/>
          <w:sz w:val="20"/>
          <w:vertAlign w:val="superscript"/>
        </w:rPr>
        <w:footnoteReference w:id="7"/>
      </w:r>
      <w:r w:rsidRPr="002B544A">
        <w:rPr>
          <w:b/>
          <w:iCs/>
          <w:color w:val="000000"/>
          <w:sz w:val="20"/>
          <w:lang w:eastAsia="zh-CN"/>
        </w:rPr>
        <w:t xml:space="preserve"> </w:t>
      </w:r>
    </w:p>
    <w:p w:rsidR="00753DB9" w:rsidRPr="002B544A" w:rsidRDefault="00753DB9" w:rsidP="00753DB9">
      <w:pPr>
        <w:numPr>
          <w:ilvl w:val="0"/>
          <w:numId w:val="2"/>
        </w:numPr>
        <w:spacing w:after="120"/>
        <w:ind w:firstLine="624"/>
        <w:jc w:val="both"/>
        <w:rPr>
          <w:iCs/>
          <w:color w:val="000000"/>
          <w:sz w:val="20"/>
          <w:lang w:eastAsia="zh-CN"/>
        </w:rPr>
      </w:pPr>
      <w:r w:rsidRPr="00C43BAD">
        <w:rPr>
          <w:rFonts w:ascii="楷体" w:eastAsia="楷体" w:hAnsi="楷体" w:hint="eastAsia"/>
          <w:color w:val="000000"/>
          <w:szCs w:val="24"/>
          <w:lang w:eastAsia="zh-CN"/>
        </w:rPr>
        <w:lastRenderedPageBreak/>
        <w:t>注意到</w:t>
      </w:r>
      <w:r w:rsidRPr="002B544A">
        <w:rPr>
          <w:rFonts w:hint="eastAsia"/>
          <w:color w:val="000000"/>
          <w:szCs w:val="24"/>
          <w:lang w:eastAsia="zh-CN"/>
        </w:rPr>
        <w:t xml:space="preserve"> </w:t>
      </w:r>
      <w:r w:rsidRPr="002B544A">
        <w:rPr>
          <w:iCs/>
          <w:szCs w:val="24"/>
          <w:lang w:eastAsia="zh-CN"/>
        </w:rPr>
        <w:t>其</w:t>
      </w:r>
      <w:r w:rsidRPr="002B544A">
        <w:rPr>
          <w:rFonts w:hint="eastAsia"/>
          <w:iCs/>
          <w:szCs w:val="24"/>
          <w:lang w:eastAsia="zh-CN"/>
        </w:rPr>
        <w:t>已</w:t>
      </w:r>
      <w:r w:rsidRPr="002B544A">
        <w:rPr>
          <w:iCs/>
          <w:szCs w:val="24"/>
          <w:lang w:eastAsia="zh-CN"/>
        </w:rPr>
        <w:t>依据第</w:t>
      </w:r>
      <w:r w:rsidRPr="002B544A">
        <w:rPr>
          <w:iCs/>
          <w:szCs w:val="24"/>
          <w:lang w:eastAsia="zh-CN"/>
        </w:rPr>
        <w:t>SC-2/9</w:t>
      </w:r>
      <w:r w:rsidRPr="002B544A">
        <w:rPr>
          <w:iCs/>
          <w:szCs w:val="24"/>
          <w:lang w:eastAsia="zh-CN"/>
        </w:rPr>
        <w:t>号决定附件二所载标准，对缔约方大会核可的斯德哥尔摩公约区域和次区域中心的绩效及可持续性进行评价</w:t>
      </w:r>
      <w:r w:rsidRPr="002B544A">
        <w:rPr>
          <w:rFonts w:hint="eastAsia"/>
          <w:iCs/>
          <w:szCs w:val="24"/>
          <w:lang w:eastAsia="zh-CN"/>
        </w:rPr>
        <w:t>；</w:t>
      </w:r>
      <w:r w:rsidRPr="002B544A">
        <w:rPr>
          <w:rFonts w:eastAsia="Arial"/>
          <w:color w:val="000000"/>
          <w:sz w:val="20"/>
          <w:vertAlign w:val="superscript"/>
          <w:lang w:eastAsia="ar-SA"/>
        </w:rPr>
        <w:footnoteReference w:id="8"/>
      </w:r>
    </w:p>
    <w:p w:rsidR="00753DB9" w:rsidRPr="002B544A" w:rsidRDefault="00753DB9" w:rsidP="00753DB9">
      <w:pPr>
        <w:numPr>
          <w:ilvl w:val="0"/>
          <w:numId w:val="2"/>
        </w:numPr>
        <w:spacing w:after="120"/>
        <w:ind w:firstLine="624"/>
        <w:jc w:val="both"/>
        <w:rPr>
          <w:iCs/>
          <w:color w:val="000000"/>
          <w:sz w:val="20"/>
          <w:lang w:eastAsia="zh-CN"/>
        </w:rPr>
      </w:pPr>
      <w:r w:rsidRPr="00C43BAD">
        <w:rPr>
          <w:rFonts w:ascii="楷体" w:eastAsia="楷体" w:hAnsi="楷体" w:cs="SimSun" w:hint="eastAsia"/>
          <w:iCs/>
          <w:color w:val="000000"/>
          <w:szCs w:val="24"/>
          <w:lang w:eastAsia="zh-CN"/>
        </w:rPr>
        <w:t>注意到</w:t>
      </w:r>
      <w:r w:rsidRPr="002B544A">
        <w:rPr>
          <w:iCs/>
          <w:color w:val="000000"/>
          <w:szCs w:val="24"/>
          <w:lang w:eastAsia="zh-CN"/>
        </w:rPr>
        <w:t xml:space="preserve"> </w:t>
      </w:r>
      <w:r w:rsidRPr="002B544A">
        <w:rPr>
          <w:iCs/>
          <w:color w:val="000000"/>
          <w:szCs w:val="24"/>
          <w:lang w:eastAsia="zh-CN"/>
        </w:rPr>
        <w:t>各区域中心的绩效，并呼吁继续努力提升其绩效及采取行动支持发展中国家缔约方</w:t>
      </w:r>
      <w:r w:rsidRPr="002B544A">
        <w:rPr>
          <w:rFonts w:hint="eastAsia"/>
          <w:iCs/>
          <w:color w:val="000000"/>
          <w:szCs w:val="24"/>
          <w:lang w:eastAsia="zh-CN"/>
        </w:rPr>
        <w:t>；</w:t>
      </w:r>
    </w:p>
    <w:p w:rsidR="00753DB9" w:rsidRPr="002B544A" w:rsidRDefault="00753DB9" w:rsidP="00753DB9">
      <w:pPr>
        <w:numPr>
          <w:ilvl w:val="0"/>
          <w:numId w:val="2"/>
        </w:numPr>
        <w:spacing w:after="120"/>
        <w:ind w:firstLine="624"/>
        <w:jc w:val="both"/>
        <w:rPr>
          <w:iCs/>
          <w:color w:val="000000"/>
          <w:sz w:val="20"/>
          <w:lang w:eastAsia="zh-CN"/>
        </w:rPr>
      </w:pPr>
      <w:r w:rsidRPr="00C43BAD">
        <w:rPr>
          <w:rFonts w:ascii="楷体" w:eastAsia="楷体" w:hAnsi="楷体" w:cs="SimSun" w:hint="eastAsia"/>
          <w:iCs/>
          <w:color w:val="000000"/>
          <w:szCs w:val="24"/>
          <w:lang w:eastAsia="zh-CN"/>
        </w:rPr>
        <w:t>核可</w:t>
      </w:r>
      <w:r w:rsidRPr="002B544A">
        <w:rPr>
          <w:iCs/>
          <w:color w:val="000000"/>
          <w:szCs w:val="24"/>
          <w:lang w:eastAsia="zh-CN"/>
        </w:rPr>
        <w:t xml:space="preserve"> </w:t>
      </w:r>
      <w:r w:rsidRPr="002B544A">
        <w:rPr>
          <w:iCs/>
          <w:color w:val="000000"/>
          <w:szCs w:val="24"/>
          <w:lang w:eastAsia="zh-CN"/>
        </w:rPr>
        <w:t>本决定附件所列斯德哥尔摩公约区域和次区域中心进入下一个四年期限</w:t>
      </w:r>
      <w:r w:rsidRPr="002B544A">
        <w:rPr>
          <w:rFonts w:hint="eastAsia"/>
          <w:iCs/>
          <w:color w:val="000000"/>
          <w:szCs w:val="24"/>
          <w:lang w:eastAsia="zh-CN"/>
        </w:rPr>
        <w:t>；</w:t>
      </w:r>
    </w:p>
    <w:p w:rsidR="00753DB9" w:rsidRPr="002B544A" w:rsidRDefault="00753DB9" w:rsidP="00753DB9">
      <w:pPr>
        <w:numPr>
          <w:ilvl w:val="0"/>
          <w:numId w:val="2"/>
        </w:numPr>
        <w:spacing w:after="120"/>
        <w:ind w:firstLine="624"/>
        <w:jc w:val="both"/>
        <w:rPr>
          <w:iCs/>
          <w:color w:val="000000"/>
          <w:sz w:val="20"/>
          <w:lang w:eastAsia="zh-CN"/>
        </w:rPr>
      </w:pPr>
      <w:r w:rsidRPr="00C43BAD">
        <w:rPr>
          <w:rFonts w:ascii="楷体" w:eastAsia="楷体" w:hAnsi="楷体" w:cs="SimSun" w:hint="eastAsia"/>
          <w:color w:val="000000"/>
          <w:szCs w:val="24"/>
          <w:lang w:eastAsia="zh-CN"/>
        </w:rPr>
        <w:t>强调</w:t>
      </w:r>
      <w:r w:rsidRPr="002B544A">
        <w:rPr>
          <w:color w:val="000000"/>
          <w:szCs w:val="24"/>
          <w:lang w:eastAsia="zh-CN"/>
        </w:rPr>
        <w:t xml:space="preserve"> </w:t>
      </w:r>
      <w:r w:rsidRPr="002B544A">
        <w:rPr>
          <w:color w:val="000000"/>
          <w:szCs w:val="24"/>
          <w:lang w:eastAsia="zh-CN"/>
        </w:rPr>
        <w:t>有必要通过加强体制协调建立高效和有效的中心网络，以及通过定期沟通，包括召开中心会议及更多地使用其他沟通方式，促进各中心在其提供援助的专长领域开展信息和经验交流及合作</w:t>
      </w:r>
      <w:r w:rsidRPr="002B544A">
        <w:rPr>
          <w:rFonts w:hint="eastAsia"/>
          <w:color w:val="000000"/>
          <w:szCs w:val="24"/>
          <w:lang w:eastAsia="zh-CN"/>
        </w:rPr>
        <w:t>；</w:t>
      </w:r>
    </w:p>
    <w:p w:rsidR="00753DB9" w:rsidRPr="002B544A" w:rsidRDefault="00753DB9" w:rsidP="00753DB9">
      <w:pPr>
        <w:numPr>
          <w:ilvl w:val="0"/>
          <w:numId w:val="2"/>
        </w:numPr>
        <w:spacing w:after="120"/>
        <w:ind w:firstLine="624"/>
        <w:jc w:val="both"/>
        <w:rPr>
          <w:iCs/>
          <w:color w:val="000000"/>
          <w:sz w:val="20"/>
          <w:lang w:eastAsia="zh-CN"/>
        </w:rPr>
      </w:pPr>
      <w:r w:rsidRPr="00C43BAD">
        <w:rPr>
          <w:rFonts w:ascii="楷体" w:eastAsia="楷体" w:hAnsi="楷体"/>
          <w:szCs w:val="24"/>
          <w:lang w:eastAsia="zh-CN"/>
        </w:rPr>
        <w:t>请</w:t>
      </w:r>
      <w:r w:rsidRPr="002B544A">
        <w:rPr>
          <w:szCs w:val="24"/>
          <w:lang w:eastAsia="zh-CN"/>
        </w:rPr>
        <w:t xml:space="preserve"> </w:t>
      </w:r>
      <w:r w:rsidRPr="002B544A">
        <w:rPr>
          <w:szCs w:val="24"/>
          <w:lang w:eastAsia="zh-CN"/>
        </w:rPr>
        <w:t>斯德哥尔摩公约区域和次区域中心向秘书处提交下述文件</w:t>
      </w:r>
      <w:r w:rsidRPr="002B544A">
        <w:rPr>
          <w:rFonts w:hint="eastAsia"/>
          <w:szCs w:val="24"/>
          <w:lang w:eastAsia="zh-CN"/>
        </w:rPr>
        <w:t>：</w:t>
      </w:r>
    </w:p>
    <w:p w:rsidR="00753DB9" w:rsidRPr="002B544A" w:rsidRDefault="00753DB9" w:rsidP="00753DB9">
      <w:pPr>
        <w:tabs>
          <w:tab w:val="left" w:pos="624"/>
          <w:tab w:val="left" w:pos="1247"/>
          <w:tab w:val="left" w:pos="2410"/>
        </w:tabs>
        <w:spacing w:after="120"/>
        <w:ind w:left="1247" w:firstLine="596"/>
        <w:rPr>
          <w:color w:val="000000"/>
          <w:szCs w:val="24"/>
          <w:lang w:eastAsia="zh-CN"/>
        </w:rPr>
      </w:pPr>
      <w:r w:rsidRPr="002B544A">
        <w:rPr>
          <w:color w:val="000000"/>
          <w:szCs w:val="24"/>
          <w:lang w:eastAsia="zh-CN"/>
        </w:rPr>
        <w:t>(a)</w:t>
      </w:r>
      <w:r w:rsidRPr="002B544A">
        <w:rPr>
          <w:color w:val="000000"/>
          <w:szCs w:val="24"/>
          <w:lang w:eastAsia="zh-CN"/>
        </w:rPr>
        <w:tab/>
      </w:r>
      <w:r w:rsidRPr="002B544A">
        <w:rPr>
          <w:szCs w:val="24"/>
          <w:lang w:eastAsia="zh-CN"/>
        </w:rPr>
        <w:t>2015</w:t>
      </w:r>
      <w:r w:rsidRPr="002B544A">
        <w:rPr>
          <w:rFonts w:ascii="SimSun" w:hAnsi="SimSun" w:cs="SimSun" w:hint="eastAsia"/>
          <w:szCs w:val="24"/>
          <w:lang w:eastAsia="zh-CN"/>
        </w:rPr>
        <w:t>年</w:t>
      </w:r>
      <w:r w:rsidRPr="002B544A">
        <w:rPr>
          <w:szCs w:val="24"/>
          <w:lang w:eastAsia="zh-CN"/>
        </w:rPr>
        <w:t>9</w:t>
      </w:r>
      <w:r w:rsidRPr="002B544A">
        <w:rPr>
          <w:rFonts w:ascii="SimSun" w:hAnsi="SimSun" w:cs="SimSun" w:hint="eastAsia"/>
          <w:szCs w:val="24"/>
          <w:lang w:eastAsia="zh-CN"/>
        </w:rPr>
        <w:t>月</w:t>
      </w:r>
      <w:r w:rsidRPr="002B544A">
        <w:rPr>
          <w:szCs w:val="24"/>
          <w:lang w:eastAsia="zh-CN"/>
        </w:rPr>
        <w:t>30</w:t>
      </w:r>
      <w:r w:rsidRPr="002B544A">
        <w:rPr>
          <w:rFonts w:ascii="SimSun" w:hAnsi="SimSun" w:cs="SimSun" w:hint="eastAsia"/>
          <w:szCs w:val="24"/>
          <w:lang w:eastAsia="zh-CN"/>
        </w:rPr>
        <w:t>日之前提交</w:t>
      </w:r>
      <w:r w:rsidRPr="002B544A">
        <w:rPr>
          <w:szCs w:val="24"/>
          <w:lang w:eastAsia="zh-CN"/>
        </w:rPr>
        <w:t>2016</w:t>
      </w:r>
      <w:r w:rsidRPr="002B544A">
        <w:rPr>
          <w:rFonts w:ascii="SimSun" w:hAnsi="SimSun" w:cs="SimSun" w:hint="eastAsia"/>
          <w:szCs w:val="24"/>
          <w:lang w:eastAsia="zh-CN"/>
        </w:rPr>
        <w:t>年</w:t>
      </w:r>
      <w:r w:rsidRPr="002B544A">
        <w:rPr>
          <w:szCs w:val="24"/>
          <w:lang w:eastAsia="zh-CN"/>
        </w:rPr>
        <w:t>1</w:t>
      </w:r>
      <w:r w:rsidRPr="002B544A">
        <w:rPr>
          <w:rFonts w:ascii="SimSun" w:hAnsi="SimSun" w:cs="SimSun" w:hint="eastAsia"/>
          <w:szCs w:val="24"/>
          <w:lang w:eastAsia="zh-CN"/>
        </w:rPr>
        <w:t>月</w:t>
      </w:r>
      <w:r w:rsidRPr="002B544A">
        <w:rPr>
          <w:szCs w:val="24"/>
          <w:lang w:eastAsia="zh-CN"/>
        </w:rPr>
        <w:t>1</w:t>
      </w:r>
      <w:r w:rsidRPr="002B544A">
        <w:rPr>
          <w:rFonts w:ascii="SimSun" w:hAnsi="SimSun" w:cs="SimSun" w:hint="eastAsia"/>
          <w:szCs w:val="24"/>
          <w:lang w:eastAsia="zh-CN"/>
        </w:rPr>
        <w:t>日至</w:t>
      </w:r>
      <w:r w:rsidRPr="002B544A">
        <w:rPr>
          <w:szCs w:val="24"/>
          <w:lang w:eastAsia="zh-CN"/>
        </w:rPr>
        <w:t>2019</w:t>
      </w:r>
      <w:r w:rsidRPr="002B544A">
        <w:rPr>
          <w:rFonts w:ascii="SimSun" w:hAnsi="SimSun" w:cs="SimSun" w:hint="eastAsia"/>
          <w:szCs w:val="24"/>
          <w:lang w:eastAsia="zh-CN"/>
        </w:rPr>
        <w:t>年</w:t>
      </w:r>
      <w:r w:rsidRPr="002B544A">
        <w:rPr>
          <w:szCs w:val="24"/>
          <w:lang w:eastAsia="zh-CN"/>
        </w:rPr>
        <w:t>12</w:t>
      </w:r>
      <w:r w:rsidRPr="002B544A">
        <w:rPr>
          <w:rFonts w:ascii="SimSun" w:hAnsi="SimSun" w:cs="SimSun" w:hint="eastAsia"/>
          <w:szCs w:val="24"/>
          <w:lang w:eastAsia="zh-CN"/>
        </w:rPr>
        <w:t>月</w:t>
      </w:r>
      <w:r w:rsidRPr="002B544A">
        <w:rPr>
          <w:szCs w:val="24"/>
          <w:lang w:eastAsia="zh-CN"/>
        </w:rPr>
        <w:t>31</w:t>
      </w:r>
      <w:r w:rsidRPr="002B544A">
        <w:rPr>
          <w:rFonts w:ascii="SimSun" w:hAnsi="SimSun" w:cs="SimSun" w:hint="eastAsia"/>
          <w:szCs w:val="24"/>
          <w:lang w:eastAsia="zh-CN"/>
        </w:rPr>
        <w:t>日期间的工作计划；</w:t>
      </w:r>
    </w:p>
    <w:p w:rsidR="00753DB9" w:rsidRPr="002B544A" w:rsidRDefault="00753DB9" w:rsidP="00753DB9">
      <w:pPr>
        <w:tabs>
          <w:tab w:val="left" w:pos="624"/>
          <w:tab w:val="left" w:pos="1247"/>
          <w:tab w:val="left" w:pos="2410"/>
        </w:tabs>
        <w:spacing w:after="120"/>
        <w:ind w:left="1247" w:firstLine="596"/>
        <w:rPr>
          <w:b/>
          <w:color w:val="000000"/>
          <w:szCs w:val="24"/>
          <w:lang w:eastAsia="zh-CN"/>
        </w:rPr>
      </w:pPr>
      <w:r w:rsidRPr="002B544A">
        <w:rPr>
          <w:iCs/>
          <w:color w:val="000000"/>
          <w:szCs w:val="24"/>
          <w:lang w:eastAsia="zh-CN"/>
        </w:rPr>
        <w:t>(</w:t>
      </w:r>
      <w:r w:rsidRPr="002B544A">
        <w:rPr>
          <w:color w:val="000000"/>
          <w:szCs w:val="24"/>
          <w:lang w:eastAsia="zh-CN"/>
        </w:rPr>
        <w:t>b)</w:t>
      </w:r>
      <w:r w:rsidRPr="002B544A">
        <w:rPr>
          <w:color w:val="000000"/>
          <w:szCs w:val="24"/>
          <w:lang w:eastAsia="zh-CN"/>
        </w:rPr>
        <w:tab/>
      </w:r>
      <w:r w:rsidRPr="002B544A">
        <w:rPr>
          <w:iCs/>
          <w:szCs w:val="24"/>
          <w:lang w:eastAsia="zh-CN"/>
        </w:rPr>
        <w:t>2016</w:t>
      </w:r>
      <w:r w:rsidRPr="002B544A">
        <w:rPr>
          <w:rFonts w:ascii="SimSun" w:hAnsi="SimSun" w:cs="SimSun" w:hint="eastAsia"/>
          <w:iCs/>
          <w:szCs w:val="24"/>
          <w:lang w:eastAsia="zh-CN"/>
        </w:rPr>
        <w:t>年</w:t>
      </w:r>
      <w:r w:rsidRPr="002B544A">
        <w:rPr>
          <w:iCs/>
          <w:szCs w:val="24"/>
          <w:lang w:eastAsia="zh-CN"/>
        </w:rPr>
        <w:t>12</w:t>
      </w:r>
      <w:r w:rsidRPr="002B544A">
        <w:rPr>
          <w:rFonts w:ascii="SimSun" w:hAnsi="SimSun" w:cs="SimSun" w:hint="eastAsia"/>
          <w:iCs/>
          <w:szCs w:val="24"/>
          <w:lang w:eastAsia="zh-CN"/>
        </w:rPr>
        <w:t>月</w:t>
      </w:r>
      <w:r w:rsidRPr="002B544A">
        <w:rPr>
          <w:iCs/>
          <w:szCs w:val="24"/>
          <w:lang w:eastAsia="zh-CN"/>
        </w:rPr>
        <w:t>31</w:t>
      </w:r>
      <w:r w:rsidRPr="002B544A">
        <w:rPr>
          <w:rFonts w:ascii="SimSun" w:hAnsi="SimSun" w:cs="SimSun" w:hint="eastAsia"/>
          <w:iCs/>
          <w:szCs w:val="24"/>
          <w:lang w:eastAsia="zh-CN"/>
        </w:rPr>
        <w:t>日之前提交</w:t>
      </w:r>
      <w:r w:rsidRPr="002B544A">
        <w:rPr>
          <w:szCs w:val="24"/>
          <w:lang w:eastAsia="zh-CN"/>
        </w:rPr>
        <w:t>2015</w:t>
      </w:r>
      <w:r w:rsidRPr="002B544A">
        <w:rPr>
          <w:rFonts w:ascii="SimSun" w:hAnsi="SimSun" w:cs="SimSun" w:hint="eastAsia"/>
          <w:szCs w:val="24"/>
          <w:lang w:eastAsia="zh-CN"/>
        </w:rPr>
        <w:t>年</w:t>
      </w:r>
      <w:r w:rsidRPr="002B544A">
        <w:rPr>
          <w:szCs w:val="24"/>
          <w:lang w:eastAsia="zh-CN"/>
        </w:rPr>
        <w:t>1</w:t>
      </w:r>
      <w:r w:rsidRPr="002B544A">
        <w:rPr>
          <w:rFonts w:ascii="SimSun" w:hAnsi="SimSun" w:cs="SimSun" w:hint="eastAsia"/>
          <w:szCs w:val="24"/>
          <w:lang w:eastAsia="zh-CN"/>
        </w:rPr>
        <w:t>月</w:t>
      </w:r>
      <w:r w:rsidRPr="002B544A">
        <w:rPr>
          <w:szCs w:val="24"/>
          <w:lang w:eastAsia="zh-CN"/>
        </w:rPr>
        <w:t>1</w:t>
      </w:r>
      <w:r w:rsidRPr="002B544A">
        <w:rPr>
          <w:rFonts w:ascii="SimSun" w:hAnsi="SimSun" w:cs="SimSun" w:hint="eastAsia"/>
          <w:szCs w:val="24"/>
          <w:lang w:eastAsia="zh-CN"/>
        </w:rPr>
        <w:t>日至</w:t>
      </w:r>
      <w:r w:rsidRPr="002B544A">
        <w:rPr>
          <w:szCs w:val="24"/>
          <w:lang w:eastAsia="zh-CN"/>
        </w:rPr>
        <w:t>2016</w:t>
      </w:r>
      <w:r w:rsidRPr="002B544A">
        <w:rPr>
          <w:rFonts w:ascii="SimSun" w:hAnsi="SimSun" w:cs="SimSun" w:hint="eastAsia"/>
          <w:szCs w:val="24"/>
          <w:lang w:eastAsia="zh-CN"/>
        </w:rPr>
        <w:t>年</w:t>
      </w:r>
      <w:r w:rsidRPr="002B544A">
        <w:rPr>
          <w:szCs w:val="24"/>
          <w:lang w:eastAsia="zh-CN"/>
        </w:rPr>
        <w:t>12</w:t>
      </w:r>
      <w:r w:rsidRPr="002B544A">
        <w:rPr>
          <w:rFonts w:ascii="SimSun" w:hAnsi="SimSun" w:cs="SimSun" w:hint="eastAsia"/>
          <w:szCs w:val="24"/>
          <w:lang w:eastAsia="zh-CN"/>
        </w:rPr>
        <w:t>月</w:t>
      </w:r>
      <w:r w:rsidRPr="002B544A">
        <w:rPr>
          <w:szCs w:val="24"/>
          <w:lang w:eastAsia="zh-CN"/>
        </w:rPr>
        <w:t>31</w:t>
      </w:r>
      <w:r w:rsidRPr="002B544A">
        <w:rPr>
          <w:rFonts w:ascii="SimSun" w:hAnsi="SimSun" w:cs="SimSun" w:hint="eastAsia"/>
          <w:szCs w:val="24"/>
          <w:lang w:eastAsia="zh-CN"/>
        </w:rPr>
        <w:t>日期间的活动报告，供缔约方大会第八次会议审议；</w:t>
      </w:r>
    </w:p>
    <w:p w:rsidR="00753DB9" w:rsidRPr="002B544A" w:rsidRDefault="00753DB9" w:rsidP="00753DB9">
      <w:pPr>
        <w:numPr>
          <w:ilvl w:val="0"/>
          <w:numId w:val="2"/>
        </w:numPr>
        <w:spacing w:after="120"/>
        <w:ind w:firstLine="624"/>
        <w:jc w:val="both"/>
        <w:rPr>
          <w:rFonts w:eastAsia="Arial"/>
          <w:color w:val="000000"/>
          <w:sz w:val="20"/>
          <w:lang w:eastAsia="ar-SA"/>
        </w:rPr>
      </w:pPr>
      <w:r w:rsidRPr="00C43BAD">
        <w:rPr>
          <w:rFonts w:ascii="楷体" w:eastAsia="楷体" w:hAnsi="楷体" w:cs="SimSun" w:hint="eastAsia"/>
          <w:color w:val="000000"/>
          <w:szCs w:val="24"/>
          <w:lang w:eastAsia="ar-SA"/>
        </w:rPr>
        <w:t>请</w:t>
      </w:r>
      <w:r w:rsidRPr="00C43BAD">
        <w:rPr>
          <w:rFonts w:ascii="楷体" w:eastAsia="楷体" w:hAnsi="楷体"/>
          <w:color w:val="000000"/>
          <w:szCs w:val="24"/>
          <w:lang w:eastAsia="zh-CN"/>
        </w:rPr>
        <w:t xml:space="preserve"> </w:t>
      </w:r>
      <w:r w:rsidRPr="002B544A">
        <w:rPr>
          <w:color w:val="000000"/>
          <w:szCs w:val="24"/>
          <w:lang w:eastAsia="zh-CN"/>
        </w:rPr>
        <w:t>秘书处</w:t>
      </w:r>
      <w:r w:rsidRPr="002B544A">
        <w:rPr>
          <w:rFonts w:hint="eastAsia"/>
          <w:color w:val="000000"/>
          <w:szCs w:val="24"/>
          <w:lang w:eastAsia="zh-CN"/>
        </w:rPr>
        <w:t>：</w:t>
      </w:r>
      <w:r w:rsidRPr="002B544A">
        <w:rPr>
          <w:rFonts w:eastAsia="Arial"/>
          <w:color w:val="000000"/>
          <w:sz w:val="20"/>
          <w:lang w:eastAsia="ar-SA"/>
        </w:rPr>
        <w:t xml:space="preserve"> </w:t>
      </w:r>
    </w:p>
    <w:p w:rsidR="00753DB9" w:rsidRPr="002B544A" w:rsidRDefault="00753DB9" w:rsidP="00753DB9">
      <w:pPr>
        <w:tabs>
          <w:tab w:val="left" w:pos="624"/>
          <w:tab w:val="left" w:pos="1247"/>
          <w:tab w:val="left" w:pos="2410"/>
        </w:tabs>
        <w:spacing w:after="120"/>
        <w:ind w:left="1247" w:firstLine="596"/>
        <w:rPr>
          <w:color w:val="000000"/>
          <w:szCs w:val="24"/>
          <w:lang w:eastAsia="zh-CN"/>
        </w:rPr>
      </w:pPr>
      <w:r w:rsidRPr="002B544A">
        <w:rPr>
          <w:color w:val="000000"/>
          <w:szCs w:val="24"/>
          <w:lang w:eastAsia="zh-CN"/>
        </w:rPr>
        <w:t>(a)</w:t>
      </w:r>
      <w:r w:rsidRPr="002B544A">
        <w:rPr>
          <w:color w:val="000000"/>
          <w:szCs w:val="24"/>
          <w:lang w:eastAsia="zh-CN"/>
        </w:rPr>
        <w:tab/>
      </w:r>
      <w:r w:rsidRPr="002B544A">
        <w:rPr>
          <w:rFonts w:ascii="SimSun" w:hAnsi="SimSun" w:cs="SimSun" w:hint="eastAsia"/>
          <w:iCs/>
          <w:szCs w:val="24"/>
          <w:lang w:eastAsia="zh-CN"/>
        </w:rPr>
        <w:t>根据缔约方大会在第</w:t>
      </w:r>
      <w:r w:rsidRPr="002B544A">
        <w:rPr>
          <w:iCs/>
          <w:szCs w:val="24"/>
          <w:lang w:eastAsia="zh-CN"/>
        </w:rPr>
        <w:t>SC-6/16</w:t>
      </w:r>
      <w:r w:rsidRPr="002B544A">
        <w:rPr>
          <w:rFonts w:ascii="SimSun" w:hAnsi="SimSun" w:cs="SimSun" w:hint="eastAsia"/>
          <w:iCs/>
          <w:szCs w:val="24"/>
          <w:lang w:eastAsia="zh-CN"/>
        </w:rPr>
        <w:t>号决定中通过的绩效评价方法编写一份对本决定附件所列斯德哥尔摩公约区域和次区域中心进行评价的报告，供缔约方大会第九次会议审议；</w:t>
      </w:r>
    </w:p>
    <w:p w:rsidR="00753DB9" w:rsidRPr="002B544A" w:rsidRDefault="00753DB9" w:rsidP="00753DB9">
      <w:pPr>
        <w:tabs>
          <w:tab w:val="left" w:pos="624"/>
          <w:tab w:val="left" w:pos="1247"/>
          <w:tab w:val="left" w:pos="2410"/>
        </w:tabs>
        <w:spacing w:after="120"/>
        <w:ind w:left="1247" w:firstLine="596"/>
        <w:rPr>
          <w:color w:val="000000"/>
          <w:szCs w:val="24"/>
          <w:lang w:eastAsia="zh-CN"/>
        </w:rPr>
      </w:pPr>
      <w:r w:rsidRPr="002B544A">
        <w:rPr>
          <w:color w:val="000000"/>
          <w:szCs w:val="24"/>
          <w:lang w:eastAsia="zh-CN"/>
        </w:rPr>
        <w:t>(b)</w:t>
      </w:r>
      <w:r w:rsidRPr="002B544A">
        <w:rPr>
          <w:color w:val="000000"/>
          <w:szCs w:val="24"/>
          <w:lang w:eastAsia="zh-CN"/>
        </w:rPr>
        <w:tab/>
      </w:r>
      <w:r w:rsidRPr="002B544A">
        <w:rPr>
          <w:rFonts w:ascii="SimSun" w:hAnsi="SimSun" w:cs="SimSun" w:hint="eastAsia"/>
          <w:iCs/>
          <w:szCs w:val="24"/>
          <w:lang w:eastAsia="zh-CN"/>
        </w:rPr>
        <w:t>编写一份斯德哥尔摩公约区域和次区域中心活动报告，包括关于如何提高中心网络的效率及成效的评估，供缔约方大会第八次会议审议；</w:t>
      </w:r>
    </w:p>
    <w:p w:rsidR="00753DB9" w:rsidRPr="002B544A" w:rsidRDefault="00753DB9" w:rsidP="00753DB9">
      <w:pPr>
        <w:tabs>
          <w:tab w:val="left" w:pos="624"/>
          <w:tab w:val="left" w:pos="1247"/>
          <w:tab w:val="left" w:pos="2410"/>
        </w:tabs>
        <w:spacing w:after="120"/>
        <w:ind w:left="1247" w:firstLine="596"/>
        <w:rPr>
          <w:color w:val="000000"/>
          <w:szCs w:val="24"/>
          <w:lang w:eastAsia="zh-CN"/>
        </w:rPr>
      </w:pPr>
      <w:r w:rsidRPr="002B544A">
        <w:rPr>
          <w:color w:val="000000"/>
          <w:szCs w:val="24"/>
          <w:lang w:eastAsia="zh-CN"/>
        </w:rPr>
        <w:t xml:space="preserve">(c) </w:t>
      </w:r>
      <w:r w:rsidRPr="002B544A">
        <w:rPr>
          <w:color w:val="000000"/>
          <w:szCs w:val="24"/>
          <w:lang w:eastAsia="zh-CN"/>
        </w:rPr>
        <w:tab/>
      </w:r>
      <w:r w:rsidRPr="002B544A">
        <w:rPr>
          <w:rFonts w:ascii="SimSun" w:hAnsi="SimSun" w:cs="SimSun" w:hint="eastAsia"/>
          <w:color w:val="000000"/>
          <w:szCs w:val="24"/>
          <w:lang w:eastAsia="zh-CN"/>
        </w:rPr>
        <w:t>考虑汲取的经验教训、各中心的观点以及各缔约方的观点，并在此基础上审议对区域中心评价方法可能作出的调整，供缔约方大会第八次会议审议，并邀请各中心和各缔约方于</w:t>
      </w:r>
      <w:r w:rsidRPr="002B544A">
        <w:rPr>
          <w:color w:val="000000"/>
          <w:szCs w:val="24"/>
          <w:lang w:eastAsia="zh-CN"/>
        </w:rPr>
        <w:t>2016</w:t>
      </w:r>
      <w:r w:rsidRPr="002B544A">
        <w:rPr>
          <w:rFonts w:ascii="SimSun" w:hAnsi="SimSun" w:cs="SimSun" w:hint="eastAsia"/>
          <w:color w:val="000000"/>
          <w:szCs w:val="24"/>
          <w:lang w:eastAsia="zh-CN"/>
        </w:rPr>
        <w:t>年</w:t>
      </w:r>
      <w:r w:rsidRPr="002B544A">
        <w:rPr>
          <w:color w:val="000000"/>
          <w:szCs w:val="24"/>
          <w:lang w:eastAsia="zh-CN"/>
        </w:rPr>
        <w:t>6</w:t>
      </w:r>
      <w:r w:rsidRPr="002B544A">
        <w:rPr>
          <w:rFonts w:ascii="SimSun" w:hAnsi="SimSun" w:cs="SimSun" w:hint="eastAsia"/>
          <w:color w:val="000000"/>
          <w:szCs w:val="24"/>
          <w:lang w:eastAsia="zh-CN"/>
        </w:rPr>
        <w:t>月</w:t>
      </w:r>
      <w:r w:rsidRPr="002B544A">
        <w:rPr>
          <w:color w:val="000000"/>
          <w:szCs w:val="24"/>
          <w:lang w:eastAsia="zh-CN"/>
        </w:rPr>
        <w:t>30</w:t>
      </w:r>
      <w:r w:rsidRPr="002B544A">
        <w:rPr>
          <w:rFonts w:ascii="SimSun" w:hAnsi="SimSun" w:cs="SimSun" w:hint="eastAsia"/>
          <w:color w:val="000000"/>
          <w:szCs w:val="24"/>
          <w:lang w:eastAsia="zh-CN"/>
        </w:rPr>
        <w:t>日之前提出对此的看法；</w:t>
      </w:r>
    </w:p>
    <w:p w:rsidR="00753DB9" w:rsidRPr="002B544A" w:rsidRDefault="00753DB9" w:rsidP="00753DB9">
      <w:pPr>
        <w:numPr>
          <w:ilvl w:val="0"/>
          <w:numId w:val="2"/>
        </w:numPr>
        <w:spacing w:after="120"/>
        <w:ind w:firstLine="624"/>
        <w:jc w:val="both"/>
        <w:rPr>
          <w:rFonts w:eastAsia="Arial"/>
          <w:color w:val="000000"/>
          <w:sz w:val="20"/>
          <w:lang w:eastAsia="ar-SA"/>
        </w:rPr>
      </w:pPr>
      <w:r w:rsidRPr="00C43BAD">
        <w:rPr>
          <w:rFonts w:ascii="楷体" w:eastAsia="楷体" w:hAnsi="楷体" w:cs="SimSun" w:hint="eastAsia"/>
          <w:szCs w:val="24"/>
          <w:lang w:val="en-US" w:eastAsia="zh-CN"/>
        </w:rPr>
        <w:t xml:space="preserve">决定 </w:t>
      </w:r>
      <w:r w:rsidRPr="002B544A">
        <w:rPr>
          <w:rFonts w:ascii="SimSun" w:hAnsi="SimSun" w:cs="SimSun" w:hint="eastAsia"/>
          <w:szCs w:val="24"/>
          <w:lang w:val="en-US" w:eastAsia="zh-CN"/>
        </w:rPr>
        <w:t>依据第</w:t>
      </w:r>
      <w:r w:rsidRPr="002B544A">
        <w:rPr>
          <w:iCs/>
          <w:szCs w:val="24"/>
          <w:lang w:eastAsia="zh-CN"/>
        </w:rPr>
        <w:t>SC-2/9</w:t>
      </w:r>
      <w:r w:rsidRPr="002B544A">
        <w:rPr>
          <w:rFonts w:ascii="SimSun" w:hAnsi="SimSun" w:cs="SimSun" w:hint="eastAsia"/>
          <w:iCs/>
          <w:szCs w:val="24"/>
          <w:lang w:eastAsia="zh-CN"/>
        </w:rPr>
        <w:t>号决定附件二所载标准，并考虑到上文第</w:t>
      </w:r>
      <w:r w:rsidRPr="002B544A">
        <w:rPr>
          <w:iCs/>
          <w:szCs w:val="24"/>
          <w:lang w:eastAsia="zh-CN"/>
        </w:rPr>
        <w:t>12(c)</w:t>
      </w:r>
      <w:r w:rsidRPr="002B544A">
        <w:rPr>
          <w:iCs/>
          <w:szCs w:val="24"/>
          <w:lang w:eastAsia="zh-CN"/>
        </w:rPr>
        <w:t>段所述的可能的调整，</w:t>
      </w:r>
      <w:r w:rsidRPr="002B544A">
        <w:rPr>
          <w:rFonts w:ascii="SimSun" w:hAnsi="SimSun" w:cs="SimSun" w:hint="eastAsia"/>
          <w:iCs/>
          <w:szCs w:val="24"/>
          <w:lang w:eastAsia="zh-CN"/>
        </w:rPr>
        <w:t>评价本决定附件所列斯德哥尔摩公约区域和次区域中心的绩效及可持续性，并根据第</w:t>
      </w:r>
      <w:r w:rsidRPr="002B544A">
        <w:rPr>
          <w:iCs/>
          <w:szCs w:val="24"/>
          <w:lang w:eastAsia="zh-CN"/>
        </w:rPr>
        <w:t>SC-3/12</w:t>
      </w:r>
      <w:r w:rsidRPr="002B544A">
        <w:rPr>
          <w:rFonts w:ascii="SimSun" w:hAnsi="SimSun" w:cs="SimSun" w:hint="eastAsia"/>
          <w:iCs/>
          <w:szCs w:val="24"/>
          <w:lang w:eastAsia="zh-CN"/>
        </w:rPr>
        <w:t>号决定在第九次会议上及此后每四年重新审议其作为《公约》下的区域和次区域中心的地位；</w:t>
      </w:r>
    </w:p>
    <w:p w:rsidR="00753DB9" w:rsidRPr="002B544A" w:rsidRDefault="00753DB9" w:rsidP="00753DB9">
      <w:pPr>
        <w:numPr>
          <w:ilvl w:val="0"/>
          <w:numId w:val="2"/>
        </w:numPr>
        <w:spacing w:after="120"/>
        <w:ind w:firstLine="624"/>
        <w:jc w:val="both"/>
        <w:rPr>
          <w:rFonts w:eastAsia="Arial"/>
          <w:color w:val="000000"/>
          <w:sz w:val="20"/>
          <w:lang w:eastAsia="ar-SA"/>
        </w:rPr>
      </w:pPr>
      <w:r w:rsidRPr="002B544A">
        <w:rPr>
          <w:rFonts w:ascii="楷体" w:eastAsia="楷体" w:hAnsi="楷体" w:cs="SimSun" w:hint="eastAsia"/>
          <w:color w:val="000000"/>
          <w:szCs w:val="24"/>
          <w:lang w:eastAsia="zh-CN"/>
        </w:rPr>
        <w:t>邀请</w:t>
      </w:r>
      <w:r w:rsidRPr="002B544A">
        <w:rPr>
          <w:rFonts w:ascii="SimSun" w:hAnsi="SimSun" w:cs="SimSun" w:hint="eastAsia"/>
          <w:color w:val="000000"/>
          <w:szCs w:val="24"/>
          <w:lang w:eastAsia="zh-CN"/>
        </w:rPr>
        <w:t xml:space="preserve"> 发达国家缔约方及其他各方依据其能力考虑加强区域技术援助交付及促进《公约》之下的技术转让的途径，以促进化学品与废物的无害管理、可持续发展以及人类健康与环境保护，并进一步邀请这些缔约方及其他各方考虑与各区域中心在实施化学品与废物无害管理区域项目中开展有效和高效合作的机会；</w:t>
      </w:r>
    </w:p>
    <w:p w:rsidR="00753DB9" w:rsidRPr="002B544A" w:rsidRDefault="00753DB9" w:rsidP="00753DB9">
      <w:pPr>
        <w:numPr>
          <w:ilvl w:val="0"/>
          <w:numId w:val="2"/>
        </w:numPr>
        <w:spacing w:after="120"/>
        <w:ind w:firstLine="624"/>
        <w:jc w:val="both"/>
        <w:rPr>
          <w:rFonts w:eastAsia="Arial"/>
          <w:color w:val="000000"/>
          <w:sz w:val="20"/>
          <w:lang w:eastAsia="ar-SA"/>
        </w:rPr>
      </w:pPr>
      <w:r w:rsidRPr="002B544A">
        <w:rPr>
          <w:rFonts w:ascii="楷体" w:eastAsia="楷体" w:hAnsi="楷体" w:cs="SimSun" w:hint="eastAsia"/>
          <w:color w:val="000000"/>
          <w:szCs w:val="24"/>
          <w:lang w:eastAsia="zh-CN"/>
        </w:rPr>
        <w:lastRenderedPageBreak/>
        <w:t>注意到</w:t>
      </w:r>
      <w:r w:rsidRPr="002B544A">
        <w:rPr>
          <w:rFonts w:ascii="SimSun" w:hAnsi="SimSun" w:cs="SimSun" w:hint="eastAsia"/>
          <w:color w:val="000000"/>
          <w:szCs w:val="24"/>
          <w:lang w:eastAsia="zh-CN"/>
        </w:rPr>
        <w:t xml:space="preserve"> 某些中心面临的挑战，并邀请各缔约方及其他有条件的区域中心，通过交流最佳做法、提供技术援助及促进技术转让，与此类中心合作及提供支持；</w:t>
      </w:r>
    </w:p>
    <w:p w:rsidR="00753DB9" w:rsidRPr="002B544A" w:rsidRDefault="00753DB9" w:rsidP="00753DB9">
      <w:pPr>
        <w:numPr>
          <w:ilvl w:val="0"/>
          <w:numId w:val="2"/>
        </w:numPr>
        <w:spacing w:after="120"/>
        <w:ind w:firstLine="624"/>
        <w:jc w:val="both"/>
        <w:rPr>
          <w:rFonts w:eastAsia="Arial"/>
          <w:color w:val="000000"/>
          <w:sz w:val="20"/>
          <w:lang w:eastAsia="ar-SA"/>
        </w:rPr>
      </w:pPr>
      <w:r w:rsidRPr="002B544A">
        <w:rPr>
          <w:rFonts w:ascii="楷体" w:eastAsia="楷体" w:hAnsi="楷体" w:cs="SimSun" w:hint="eastAsia"/>
          <w:iCs/>
          <w:szCs w:val="24"/>
          <w:lang w:eastAsia="zh-CN"/>
        </w:rPr>
        <w:t>回顾</w:t>
      </w:r>
      <w:r w:rsidRPr="002B544A">
        <w:rPr>
          <w:rFonts w:ascii="楷体" w:eastAsia="楷体" w:hAnsi="楷体"/>
          <w:iCs/>
          <w:szCs w:val="24"/>
          <w:lang w:eastAsia="zh-CN"/>
        </w:rPr>
        <w:t xml:space="preserve"> </w:t>
      </w:r>
      <w:r w:rsidRPr="002B544A">
        <w:rPr>
          <w:iCs/>
          <w:szCs w:val="24"/>
          <w:lang w:eastAsia="zh-CN"/>
        </w:rPr>
        <w:t>可持续的财政及技术资源对于各中心成功地开展《公约》之下的工作的必要性，并</w:t>
      </w:r>
      <w:r w:rsidRPr="002B544A">
        <w:rPr>
          <w:rFonts w:ascii="SimSun" w:hAnsi="SimSun" w:cs="SimSun" w:hint="eastAsia"/>
          <w:iCs/>
          <w:szCs w:val="24"/>
          <w:lang w:eastAsia="zh-CN"/>
        </w:rPr>
        <w:t>邀请各缔约方、观察员和其他有条件的各方，包括行业和广大私人部门以及金融机构提供财政支持，以使斯德哥尔摩公约区域和次区域中心有能力实施其旨在支持各缔约方履行《公约》义务的工作计划；</w:t>
      </w:r>
    </w:p>
    <w:p w:rsidR="00753DB9" w:rsidRPr="002B544A" w:rsidRDefault="00753DB9" w:rsidP="00753DB9">
      <w:pPr>
        <w:numPr>
          <w:ilvl w:val="0"/>
          <w:numId w:val="2"/>
        </w:numPr>
        <w:spacing w:after="240"/>
        <w:ind w:firstLine="624"/>
        <w:jc w:val="both"/>
        <w:rPr>
          <w:rFonts w:eastAsia="Arial"/>
          <w:color w:val="000000"/>
          <w:sz w:val="20"/>
          <w:lang w:eastAsia="ar-SA"/>
        </w:rPr>
      </w:pPr>
      <w:r w:rsidRPr="002B544A">
        <w:rPr>
          <w:rFonts w:ascii="楷体" w:eastAsia="楷体" w:hAnsi="楷体" w:cs="SimSun" w:hint="eastAsia"/>
          <w:color w:val="000000"/>
          <w:szCs w:val="24"/>
          <w:lang w:eastAsia="zh-CN"/>
        </w:rPr>
        <w:t>邀请</w:t>
      </w:r>
      <w:r w:rsidRPr="002B544A">
        <w:rPr>
          <w:rFonts w:ascii="SimSun" w:hAnsi="SimSun" w:cs="SimSun" w:hint="eastAsia"/>
          <w:color w:val="000000"/>
          <w:szCs w:val="24"/>
          <w:lang w:eastAsia="zh-CN"/>
        </w:rPr>
        <w:t xml:space="preserve"> 全体区域和次区域中心开展《公约》之下与汞问题有关的活动，包括关于信息传播、能力建设及技术转让的项目与活动，以提供相关信息供秘书处在评价时依据适用的协同增效标准加以考虑，并请秘书处将该信息转达给汞问题水俣公约临时秘书处，供政府间谈判委员会在其第七届会议上酌情审议，以就汞问题编制一项具有法律约束力的全球性文书；</w:t>
      </w:r>
    </w:p>
    <w:p w:rsidR="00753DB9" w:rsidRPr="002B544A" w:rsidRDefault="00753DB9" w:rsidP="00753DB9">
      <w:pPr>
        <w:numPr>
          <w:ilvl w:val="0"/>
          <w:numId w:val="2"/>
        </w:numPr>
        <w:spacing w:after="120"/>
        <w:ind w:firstLine="624"/>
        <w:jc w:val="both"/>
        <w:rPr>
          <w:color w:val="000000"/>
          <w:sz w:val="20"/>
        </w:rPr>
      </w:pPr>
      <w:r w:rsidRPr="002B544A">
        <w:rPr>
          <w:rFonts w:ascii="楷体" w:eastAsia="楷体" w:hAnsi="楷体" w:cs="SimSun" w:hint="eastAsia"/>
          <w:color w:val="000000"/>
          <w:szCs w:val="24"/>
        </w:rPr>
        <w:t>请</w:t>
      </w:r>
      <w:r w:rsidRPr="002B544A">
        <w:rPr>
          <w:rFonts w:ascii="SimSun" w:hAnsi="SimSun" w:cs="SimSun" w:hint="eastAsia"/>
          <w:color w:val="000000"/>
          <w:szCs w:val="24"/>
          <w:lang w:eastAsia="zh-CN"/>
        </w:rPr>
        <w:t xml:space="preserve"> </w:t>
      </w:r>
      <w:proofErr w:type="spellStart"/>
      <w:r w:rsidRPr="002B544A">
        <w:rPr>
          <w:rFonts w:ascii="SimSun" w:hAnsi="SimSun" w:cs="SimSun" w:hint="eastAsia"/>
          <w:color w:val="000000"/>
          <w:szCs w:val="24"/>
        </w:rPr>
        <w:t>秘书处</w:t>
      </w:r>
      <w:proofErr w:type="spellEnd"/>
      <w:r w:rsidRPr="002B544A">
        <w:rPr>
          <w:rFonts w:ascii="SimSun" w:hAnsi="SimSun" w:cs="SimSun" w:hint="eastAsia"/>
          <w:color w:val="000000"/>
          <w:szCs w:val="24"/>
          <w:lang w:eastAsia="zh-CN"/>
        </w:rPr>
        <w:t>：</w:t>
      </w:r>
    </w:p>
    <w:p w:rsidR="00753DB9" w:rsidRPr="007B5447" w:rsidRDefault="00753DB9" w:rsidP="00753DB9">
      <w:pPr>
        <w:tabs>
          <w:tab w:val="left" w:pos="624"/>
          <w:tab w:val="left" w:pos="1247"/>
          <w:tab w:val="left" w:pos="2410"/>
        </w:tabs>
        <w:spacing w:after="120"/>
        <w:ind w:left="1247" w:firstLine="596"/>
        <w:rPr>
          <w:color w:val="000000"/>
          <w:szCs w:val="24"/>
          <w:lang w:eastAsia="zh-CN"/>
        </w:rPr>
      </w:pPr>
      <w:r w:rsidRPr="007B5447">
        <w:rPr>
          <w:color w:val="000000"/>
          <w:szCs w:val="24"/>
          <w:lang w:eastAsia="zh-CN"/>
        </w:rPr>
        <w:t>(a)</w:t>
      </w:r>
      <w:r w:rsidRPr="007B5447">
        <w:rPr>
          <w:color w:val="000000"/>
          <w:szCs w:val="24"/>
          <w:lang w:eastAsia="zh-CN"/>
        </w:rPr>
        <w:tab/>
      </w:r>
      <w:r w:rsidRPr="007B5447">
        <w:rPr>
          <w:rFonts w:ascii="SimSun" w:hAnsi="SimSun" w:cs="SimSun" w:hint="eastAsia"/>
          <w:color w:val="000000"/>
          <w:szCs w:val="24"/>
          <w:lang w:eastAsia="zh-CN"/>
        </w:rPr>
        <w:t>继续就巴塞尔及斯德哥尔摩公约区域中心与联合国环境规划署及联合国粮食及农业组织区域中心以及其他相关中心之间的协调增效，向缔约方大会提出确切的活动建议供其酌情作出决定；</w:t>
      </w:r>
      <w:r w:rsidRPr="007B5447">
        <w:rPr>
          <w:color w:val="000000"/>
          <w:szCs w:val="24"/>
          <w:lang w:eastAsia="zh-CN"/>
        </w:rPr>
        <w:t xml:space="preserve"> </w:t>
      </w:r>
    </w:p>
    <w:p w:rsidR="00753DB9" w:rsidRPr="007B5447" w:rsidRDefault="00753DB9" w:rsidP="00753DB9">
      <w:pPr>
        <w:tabs>
          <w:tab w:val="left" w:pos="624"/>
          <w:tab w:val="left" w:pos="1247"/>
          <w:tab w:val="left" w:pos="2410"/>
        </w:tabs>
        <w:spacing w:after="120"/>
        <w:ind w:left="1247" w:firstLine="596"/>
        <w:rPr>
          <w:color w:val="000000"/>
          <w:szCs w:val="24"/>
          <w:lang w:eastAsia="zh-CN"/>
        </w:rPr>
      </w:pPr>
      <w:r w:rsidRPr="007B5447">
        <w:rPr>
          <w:color w:val="000000"/>
          <w:szCs w:val="24"/>
          <w:lang w:eastAsia="zh-CN"/>
        </w:rPr>
        <w:t>(b)</w:t>
      </w:r>
      <w:r w:rsidRPr="007B5447">
        <w:rPr>
          <w:color w:val="000000"/>
          <w:szCs w:val="24"/>
          <w:lang w:eastAsia="zh-CN"/>
        </w:rPr>
        <w:tab/>
      </w:r>
      <w:r w:rsidRPr="007B5447">
        <w:rPr>
          <w:rFonts w:ascii="SimSun" w:hAnsi="SimSun" w:cs="SimSun" w:hint="eastAsia"/>
          <w:color w:val="000000"/>
          <w:szCs w:val="24"/>
          <w:lang w:eastAsia="zh-CN"/>
        </w:rPr>
        <w:t>继续在其与巴塞尔及斯德哥尔摩公约区域中心、联合国环境规划署及联合国粮食及农业组织区域中心以及其他相关中心的关系中培育协同增效方法，同时认识到每个中心的特定情况及任务；</w:t>
      </w:r>
    </w:p>
    <w:p w:rsidR="00753DB9" w:rsidRPr="007B5447" w:rsidRDefault="00753DB9" w:rsidP="00753DB9">
      <w:pPr>
        <w:tabs>
          <w:tab w:val="left" w:pos="624"/>
          <w:tab w:val="left" w:pos="1247"/>
          <w:tab w:val="left" w:pos="2410"/>
        </w:tabs>
        <w:spacing w:after="120"/>
        <w:ind w:left="1247" w:firstLine="596"/>
        <w:rPr>
          <w:color w:val="000000"/>
          <w:szCs w:val="24"/>
          <w:lang w:eastAsia="zh-CN"/>
        </w:rPr>
      </w:pPr>
      <w:r w:rsidRPr="007B5447">
        <w:rPr>
          <w:color w:val="000000"/>
          <w:szCs w:val="24"/>
          <w:lang w:eastAsia="zh-CN"/>
        </w:rPr>
        <w:t>(c)</w:t>
      </w:r>
      <w:r w:rsidRPr="007B5447">
        <w:rPr>
          <w:color w:val="000000"/>
          <w:szCs w:val="24"/>
          <w:lang w:eastAsia="zh-CN"/>
        </w:rPr>
        <w:tab/>
      </w:r>
      <w:r w:rsidRPr="007B5447">
        <w:rPr>
          <w:rFonts w:ascii="SimSun" w:hAnsi="SimSun" w:cs="SimSun" w:hint="eastAsia"/>
          <w:color w:val="000000"/>
          <w:szCs w:val="24"/>
          <w:lang w:eastAsia="zh-CN"/>
        </w:rPr>
        <w:t>继续组织各区域中心主任与秘书处（视情况可能包括观察员）之间两年一次的会议，并在可能的情况下，以可用资源为限，考虑增加会议次数；</w:t>
      </w:r>
      <w:r w:rsidRPr="007B5447">
        <w:rPr>
          <w:color w:val="000000"/>
          <w:szCs w:val="24"/>
          <w:lang w:eastAsia="zh-CN"/>
        </w:rPr>
        <w:t xml:space="preserve"> </w:t>
      </w:r>
    </w:p>
    <w:p w:rsidR="00753DB9" w:rsidRPr="007B5447" w:rsidRDefault="00753DB9" w:rsidP="00753DB9">
      <w:pPr>
        <w:tabs>
          <w:tab w:val="left" w:pos="624"/>
          <w:tab w:val="left" w:pos="1247"/>
          <w:tab w:val="left" w:pos="2410"/>
        </w:tabs>
        <w:spacing w:after="120"/>
        <w:ind w:left="1247" w:firstLine="596"/>
        <w:rPr>
          <w:color w:val="000000"/>
          <w:szCs w:val="24"/>
          <w:lang w:eastAsia="zh-CN"/>
        </w:rPr>
      </w:pPr>
      <w:r w:rsidRPr="007B5447">
        <w:rPr>
          <w:color w:val="000000"/>
          <w:szCs w:val="24"/>
          <w:lang w:eastAsia="zh-CN"/>
        </w:rPr>
        <w:t>(d)</w:t>
      </w:r>
      <w:r w:rsidRPr="007B5447">
        <w:rPr>
          <w:color w:val="000000"/>
          <w:szCs w:val="24"/>
          <w:lang w:eastAsia="zh-CN"/>
        </w:rPr>
        <w:tab/>
      </w:r>
      <w:r w:rsidRPr="007B5447">
        <w:rPr>
          <w:rFonts w:ascii="SimSun" w:hAnsi="SimSun" w:cs="SimSun" w:hint="eastAsia"/>
          <w:color w:val="000000"/>
          <w:szCs w:val="24"/>
          <w:lang w:eastAsia="zh-CN"/>
        </w:rPr>
        <w:t>提交一份关于执行本决定进展情况的报告供缔约方大会下一次会议审议。</w:t>
      </w:r>
      <w:r w:rsidRPr="007B5447">
        <w:rPr>
          <w:color w:val="000000"/>
          <w:szCs w:val="24"/>
          <w:lang w:eastAsia="zh-CN"/>
        </w:rPr>
        <w:t xml:space="preserve"> </w:t>
      </w:r>
    </w:p>
    <w:p w:rsidR="00753DB9" w:rsidRPr="007B5447" w:rsidRDefault="00753DB9" w:rsidP="00753DB9">
      <w:pPr>
        <w:widowControl w:val="0"/>
        <w:spacing w:after="120"/>
        <w:ind w:left="1276"/>
        <w:rPr>
          <w:rFonts w:hint="eastAsia"/>
          <w:b/>
          <w:bCs/>
          <w:sz w:val="28"/>
          <w:szCs w:val="22"/>
          <w:lang w:eastAsia="zh-CN"/>
        </w:rPr>
      </w:pPr>
      <w:r w:rsidRPr="007B5447">
        <w:rPr>
          <w:rFonts w:eastAsia="Calibri"/>
          <w:b/>
          <w:bCs/>
          <w:color w:val="000000"/>
          <w:sz w:val="28"/>
          <w:szCs w:val="22"/>
          <w:lang w:eastAsia="zh-CN"/>
        </w:rPr>
        <w:br w:type="page"/>
      </w:r>
      <w:r w:rsidRPr="007B5447">
        <w:rPr>
          <w:rFonts w:eastAsia="SimHei" w:hint="eastAsia"/>
          <w:b/>
          <w:bCs/>
          <w:sz w:val="28"/>
          <w:szCs w:val="26"/>
          <w:lang w:val="en-US" w:eastAsia="zh-CN"/>
        </w:rPr>
        <w:lastRenderedPageBreak/>
        <w:t>第</w:t>
      </w:r>
      <w:r w:rsidRPr="007B5447">
        <w:rPr>
          <w:rFonts w:eastAsia="SimHei"/>
          <w:b/>
          <w:bCs/>
          <w:sz w:val="28"/>
          <w:szCs w:val="26"/>
          <w:lang w:val="en-US" w:eastAsia="zh-CN"/>
        </w:rPr>
        <w:t>SC-7/17</w:t>
      </w:r>
      <w:r w:rsidRPr="007B5447">
        <w:rPr>
          <w:rFonts w:eastAsia="SimHei" w:hint="eastAsia"/>
          <w:b/>
          <w:bCs/>
          <w:sz w:val="28"/>
          <w:szCs w:val="26"/>
          <w:lang w:val="en-US" w:eastAsia="zh-CN"/>
        </w:rPr>
        <w:t>号决定的附件</w:t>
      </w:r>
    </w:p>
    <w:p w:rsidR="00753DB9" w:rsidRPr="007B5447" w:rsidRDefault="00753DB9" w:rsidP="00753DB9">
      <w:pPr>
        <w:widowControl w:val="0"/>
        <w:spacing w:after="120"/>
        <w:ind w:left="1276"/>
        <w:rPr>
          <w:bCs/>
          <w:sz w:val="28"/>
          <w:szCs w:val="26"/>
          <w:lang w:eastAsia="zh-CN"/>
        </w:rPr>
      </w:pPr>
      <w:r w:rsidRPr="007B5447">
        <w:rPr>
          <w:rFonts w:eastAsia="SimHei"/>
          <w:b/>
          <w:bCs/>
          <w:sz w:val="28"/>
          <w:szCs w:val="26"/>
          <w:lang w:val="en-US" w:eastAsia="zh-CN"/>
        </w:rPr>
        <w:t>经缔约方大会第七次会议核可进入下一个四年期限的斯德哥尔摩公约区域和次区域中心名单</w:t>
      </w:r>
    </w:p>
    <w:tbl>
      <w:tblPr>
        <w:tblW w:w="9358" w:type="dxa"/>
        <w:tblInd w:w="624" w:type="dxa"/>
        <w:tblBorders>
          <w:top w:val="single" w:sz="4" w:space="0" w:color="000000"/>
          <w:left w:val="single" w:sz="4" w:space="0" w:color="000000"/>
          <w:bottom w:val="single" w:sz="4" w:space="0" w:color="000000"/>
          <w:right w:val="single" w:sz="4" w:space="0" w:color="000000"/>
        </w:tblBorders>
        <w:tblLayout w:type="fixed"/>
        <w:tblLook w:val="0000"/>
      </w:tblPr>
      <w:tblGrid>
        <w:gridCol w:w="1560"/>
        <w:gridCol w:w="7798"/>
      </w:tblGrid>
      <w:tr w:rsidR="00753DB9" w:rsidRPr="007B5447" w:rsidTr="00680288">
        <w:trPr>
          <w:trHeight w:val="529"/>
        </w:trPr>
        <w:tc>
          <w:tcPr>
            <w:tcW w:w="1560" w:type="dxa"/>
            <w:tcBorders>
              <w:top w:val="single" w:sz="4" w:space="0" w:color="000000"/>
              <w:bottom w:val="single" w:sz="4" w:space="0" w:color="000000"/>
              <w:right w:val="single" w:sz="4" w:space="0" w:color="000000"/>
            </w:tcBorders>
            <w:vAlign w:val="bottom"/>
          </w:tcPr>
          <w:p w:rsidR="00753DB9" w:rsidRPr="007B5447" w:rsidRDefault="00753DB9" w:rsidP="00680288">
            <w:pPr>
              <w:keepNext/>
              <w:keepLines/>
              <w:ind w:left="113" w:right="113"/>
              <w:jc w:val="center"/>
              <w:rPr>
                <w:rFonts w:ascii="SimHei" w:eastAsia="SimHei" w:hAnsi="SimHei" w:hint="eastAsia"/>
                <w:b/>
                <w:sz w:val="20"/>
                <w:lang w:eastAsia="zh-CN"/>
              </w:rPr>
            </w:pPr>
            <w:r w:rsidRPr="007B5447">
              <w:rPr>
                <w:rFonts w:ascii="SimHei" w:eastAsia="SimHei" w:hAnsi="SimHei" w:hint="eastAsia"/>
                <w:b/>
                <w:sz w:val="20"/>
                <w:lang w:eastAsia="zh-CN"/>
              </w:rPr>
              <w:t>区域</w:t>
            </w:r>
          </w:p>
        </w:tc>
        <w:tc>
          <w:tcPr>
            <w:tcW w:w="7798" w:type="dxa"/>
            <w:tcBorders>
              <w:top w:val="single" w:sz="4" w:space="0" w:color="000000"/>
              <w:left w:val="single" w:sz="4" w:space="0" w:color="000000"/>
              <w:bottom w:val="single" w:sz="4" w:space="0" w:color="000000"/>
              <w:right w:val="single" w:sz="4" w:space="0" w:color="000000"/>
            </w:tcBorders>
            <w:vAlign w:val="bottom"/>
          </w:tcPr>
          <w:p w:rsidR="00753DB9" w:rsidRPr="007B5447" w:rsidRDefault="00753DB9" w:rsidP="00680288">
            <w:pPr>
              <w:keepNext/>
              <w:keepLines/>
              <w:ind w:left="113" w:right="113"/>
              <w:jc w:val="center"/>
              <w:rPr>
                <w:rFonts w:ascii="SimHei" w:eastAsia="SimHei" w:hAnsi="SimHei" w:hint="eastAsia"/>
                <w:b/>
                <w:sz w:val="20"/>
                <w:lang w:eastAsia="zh-CN"/>
              </w:rPr>
            </w:pPr>
            <w:r w:rsidRPr="007B5447">
              <w:rPr>
                <w:rFonts w:ascii="SimHei" w:eastAsia="SimHei" w:hAnsi="SimHei" w:hint="eastAsia"/>
                <w:b/>
                <w:sz w:val="20"/>
                <w:lang w:eastAsia="zh-CN"/>
              </w:rPr>
              <w:t>区域中心</w:t>
            </w:r>
          </w:p>
        </w:tc>
      </w:tr>
      <w:tr w:rsidR="00753DB9" w:rsidRPr="007B5447" w:rsidTr="00680288">
        <w:trPr>
          <w:trHeight w:val="275"/>
        </w:trPr>
        <w:tc>
          <w:tcPr>
            <w:tcW w:w="1560" w:type="dxa"/>
            <w:vMerge w:val="restart"/>
            <w:tcBorders>
              <w:top w:val="single" w:sz="4" w:space="0" w:color="000000"/>
              <w:right w:val="single" w:sz="4" w:space="0" w:color="000000"/>
            </w:tcBorders>
            <w:textDirection w:val="btLr"/>
            <w:vAlign w:val="center"/>
          </w:tcPr>
          <w:p w:rsidR="00753DB9" w:rsidRPr="007B5447" w:rsidRDefault="00753DB9" w:rsidP="00680288">
            <w:pPr>
              <w:keepNext/>
              <w:keepLines/>
              <w:ind w:left="113" w:right="113"/>
              <w:jc w:val="center"/>
              <w:rPr>
                <w:rFonts w:ascii="SimHei" w:eastAsia="SimHei" w:hAnsi="SimHei"/>
                <w:b/>
                <w:sz w:val="20"/>
              </w:rPr>
            </w:pPr>
            <w:r w:rsidRPr="007B5447">
              <w:rPr>
                <w:rFonts w:ascii="SimHei" w:eastAsia="SimHei" w:hAnsi="SimHei" w:hint="eastAsia"/>
                <w:b/>
                <w:sz w:val="20"/>
                <w:lang w:eastAsia="zh-CN"/>
              </w:rPr>
              <w:t>非洲</w:t>
            </w:r>
          </w:p>
        </w:tc>
        <w:tc>
          <w:tcPr>
            <w:tcW w:w="7798" w:type="dxa"/>
            <w:tcBorders>
              <w:top w:val="single" w:sz="4" w:space="0" w:color="000000"/>
              <w:left w:val="single" w:sz="4" w:space="0" w:color="000000"/>
              <w:bottom w:val="single" w:sz="4" w:space="0" w:color="auto"/>
              <w:right w:val="single" w:sz="4" w:space="0" w:color="000000"/>
            </w:tcBorders>
          </w:tcPr>
          <w:p w:rsidR="00753DB9" w:rsidRPr="007B5447" w:rsidRDefault="00753DB9" w:rsidP="00680288">
            <w:pPr>
              <w:keepNext/>
              <w:keepLines/>
              <w:rPr>
                <w:sz w:val="20"/>
                <w:lang w:eastAsia="zh-CN"/>
              </w:rPr>
            </w:pPr>
            <w:r w:rsidRPr="007B5447">
              <w:rPr>
                <w:sz w:val="20"/>
                <w:lang w:val="en-US" w:eastAsia="zh-CN"/>
              </w:rPr>
              <w:t>斯德哥尔摩公约设于阿尔及利亚的能力建设与技术转让区域中心（斯德哥尔摩公约阿尔及利亚区域中心）</w:t>
            </w:r>
          </w:p>
        </w:tc>
      </w:tr>
      <w:tr w:rsidR="00753DB9" w:rsidRPr="007B5447" w:rsidTr="00680288">
        <w:trPr>
          <w:trHeight w:val="338"/>
        </w:trPr>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auto"/>
              <w:left w:val="single" w:sz="4" w:space="0" w:color="000000"/>
              <w:bottom w:val="single" w:sz="4" w:space="0" w:color="auto"/>
              <w:right w:val="single" w:sz="4" w:space="0" w:color="000000"/>
            </w:tcBorders>
            <w:vAlign w:val="center"/>
          </w:tcPr>
          <w:p w:rsidR="00753DB9" w:rsidRPr="007B5447" w:rsidRDefault="00753DB9" w:rsidP="00680288">
            <w:pPr>
              <w:keepNext/>
              <w:keepLines/>
              <w:spacing w:before="120" w:after="120"/>
              <w:rPr>
                <w:rFonts w:eastAsia="Calibri"/>
                <w:bCs/>
                <w:sz w:val="20"/>
                <w:lang w:eastAsia="zh-CN"/>
              </w:rPr>
            </w:pPr>
            <w:r w:rsidRPr="007B5447">
              <w:rPr>
                <w:sz w:val="20"/>
                <w:lang w:val="en-US" w:eastAsia="zh-CN"/>
              </w:rPr>
              <w:t>斯德哥尔摩公约设于肯尼亚的能力建设与技术转让区域中心（斯德哥尔摩公约肯尼亚区域中心）</w:t>
            </w:r>
          </w:p>
        </w:tc>
      </w:tr>
      <w:tr w:rsidR="00753DB9" w:rsidRPr="007B5447" w:rsidTr="00680288">
        <w:trPr>
          <w:trHeight w:val="250"/>
        </w:trPr>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auto"/>
              <w:left w:val="single" w:sz="4" w:space="0" w:color="000000"/>
              <w:bottom w:val="single" w:sz="4" w:space="0" w:color="auto"/>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斯德哥尔摩公约设于塞内加尔的能力建设与技术转让区域中心（斯德哥尔摩公约塞内加尔区域中心</w:t>
            </w:r>
            <w:r w:rsidRPr="007B5447">
              <w:rPr>
                <w:sz w:val="20"/>
                <w:lang w:val="en-US" w:eastAsia="zh-CN"/>
              </w:rPr>
              <w:t xml:space="preserve"> </w:t>
            </w:r>
            <w:r w:rsidRPr="007B5447">
              <w:rPr>
                <w:sz w:val="20"/>
                <w:lang w:val="en-US" w:eastAsia="zh-CN"/>
              </w:rPr>
              <w:t>）</w:t>
            </w:r>
          </w:p>
        </w:tc>
      </w:tr>
      <w:tr w:rsidR="00753DB9" w:rsidRPr="007B5447" w:rsidTr="00680288">
        <w:trPr>
          <w:trHeight w:val="534"/>
        </w:trPr>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auto"/>
              <w:left w:val="single" w:sz="4" w:space="0" w:color="000000"/>
              <w:bottom w:val="single" w:sz="4" w:space="0" w:color="000000"/>
              <w:right w:val="single" w:sz="4" w:space="0" w:color="000000"/>
            </w:tcBorders>
            <w:vAlign w:val="center"/>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斯德哥尔摩公约设于南非的能力建设与技术转让区域中心（斯德哥尔摩公约南非区域中心</w:t>
            </w:r>
            <w:r w:rsidRPr="007B5447">
              <w:rPr>
                <w:sz w:val="20"/>
                <w:lang w:val="en-US" w:eastAsia="zh-CN"/>
              </w:rPr>
              <w:t xml:space="preserve"> </w:t>
            </w:r>
            <w:r w:rsidRPr="007B5447">
              <w:rPr>
                <w:sz w:val="20"/>
                <w:lang w:val="en-US" w:eastAsia="zh-CN"/>
              </w:rPr>
              <w:t>）</w:t>
            </w:r>
          </w:p>
        </w:tc>
      </w:tr>
      <w:tr w:rsidR="00753DB9" w:rsidRPr="007B5447" w:rsidTr="00680288">
        <w:tc>
          <w:tcPr>
            <w:tcW w:w="1560" w:type="dxa"/>
            <w:vMerge w:val="restart"/>
            <w:tcBorders>
              <w:top w:val="single" w:sz="4" w:space="0" w:color="000000"/>
              <w:right w:val="single" w:sz="4" w:space="0" w:color="000000"/>
            </w:tcBorders>
            <w:textDirection w:val="btLr"/>
            <w:vAlign w:val="center"/>
          </w:tcPr>
          <w:p w:rsidR="00753DB9" w:rsidRPr="007B5447" w:rsidRDefault="00753DB9" w:rsidP="00680288">
            <w:pPr>
              <w:keepNext/>
              <w:keepLines/>
              <w:ind w:left="113" w:right="113"/>
              <w:jc w:val="center"/>
              <w:rPr>
                <w:rFonts w:ascii="SimHei" w:eastAsia="SimHei" w:hAnsi="SimHei"/>
                <w:b/>
                <w:sz w:val="20"/>
              </w:rPr>
            </w:pPr>
            <w:r w:rsidRPr="007B5447">
              <w:rPr>
                <w:rFonts w:ascii="SimHei" w:eastAsia="SimHei" w:hAnsi="SimHei" w:hint="eastAsia"/>
                <w:b/>
                <w:sz w:val="20"/>
                <w:lang w:eastAsia="zh-CN"/>
              </w:rPr>
              <w:t>亚洲及太平洋</w:t>
            </w: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rPr>
                <w:sz w:val="20"/>
                <w:lang w:eastAsia="zh-CN"/>
              </w:rPr>
            </w:pPr>
            <w:r w:rsidRPr="007B5447">
              <w:rPr>
                <w:sz w:val="20"/>
                <w:lang w:val="en-US" w:eastAsia="zh-CN"/>
              </w:rPr>
              <w:t>斯德哥尔摩公约设于中国的能力建设与技术转让区域中心（斯德哥尔摩公约中国区域中心</w:t>
            </w:r>
            <w:r w:rsidRPr="007B5447">
              <w:rPr>
                <w:sz w:val="20"/>
                <w:lang w:val="en-US" w:eastAsia="zh-CN"/>
              </w:rPr>
              <w:t xml:space="preserve"> </w:t>
            </w:r>
            <w:r w:rsidRPr="007B5447">
              <w:rPr>
                <w:sz w:val="20"/>
                <w:lang w:val="en-US" w:eastAsia="zh-CN"/>
              </w:rPr>
              <w:t>）</w:t>
            </w:r>
          </w:p>
        </w:tc>
      </w:tr>
      <w:tr w:rsidR="00753DB9" w:rsidRPr="007B5447" w:rsidTr="00680288">
        <w:tc>
          <w:tcPr>
            <w:tcW w:w="1560" w:type="dxa"/>
            <w:vMerge/>
            <w:tcBorders>
              <w:top w:val="single" w:sz="4" w:space="0" w:color="000000"/>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斯德哥尔摩公约设于印度的能力建设与技术转让区域中心（斯德哥尔摩公约印度区域中心</w:t>
            </w:r>
            <w:r w:rsidRPr="007B5447">
              <w:rPr>
                <w:sz w:val="20"/>
                <w:lang w:val="en-US" w:eastAsia="zh-CN"/>
              </w:rPr>
              <w:t xml:space="preserve"> </w:t>
            </w:r>
            <w:r w:rsidRPr="007B5447">
              <w:rPr>
                <w:sz w:val="20"/>
                <w:lang w:val="en-US" w:eastAsia="zh-CN"/>
              </w:rPr>
              <w:t>）</w:t>
            </w:r>
          </w:p>
        </w:tc>
      </w:tr>
      <w:tr w:rsidR="00753DB9" w:rsidRPr="007B5447" w:rsidTr="00680288">
        <w:tc>
          <w:tcPr>
            <w:tcW w:w="1560" w:type="dxa"/>
            <w:vMerge/>
            <w:tcBorders>
              <w:top w:val="single" w:sz="4" w:space="0" w:color="000000"/>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斯德哥尔摩公约设于印度尼西亚的能力建设与技术转让区域中心（斯德哥尔摩公约印尼区域中心</w:t>
            </w:r>
            <w:r w:rsidRPr="007B5447">
              <w:rPr>
                <w:sz w:val="20"/>
                <w:lang w:val="en-US" w:eastAsia="zh-CN"/>
              </w:rPr>
              <w:t xml:space="preserve"> </w:t>
            </w:r>
            <w:r w:rsidRPr="007B5447">
              <w:rPr>
                <w:sz w:val="20"/>
                <w:lang w:val="en-US" w:eastAsia="zh-CN"/>
              </w:rPr>
              <w:t>）</w:t>
            </w:r>
          </w:p>
        </w:tc>
      </w:tr>
      <w:tr w:rsidR="00753DB9" w:rsidRPr="007B5447" w:rsidTr="00680288">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斯德哥尔摩公约设于伊朗伊斯兰共和国的能力建设与技术转让区域中心（斯德哥尔摩公约伊朗区域中心）</w:t>
            </w:r>
          </w:p>
        </w:tc>
      </w:tr>
      <w:tr w:rsidR="00753DB9" w:rsidRPr="007B5447" w:rsidTr="00680288">
        <w:trPr>
          <w:trHeight w:val="516"/>
        </w:trPr>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斯德哥尔摩公约设于科威特的能力建设与技术转让区域中心（斯德哥尔摩公约科威特区域中心）</w:t>
            </w:r>
          </w:p>
        </w:tc>
      </w:tr>
      <w:tr w:rsidR="00753DB9" w:rsidRPr="007B5447" w:rsidTr="00680288">
        <w:trPr>
          <w:cantSplit/>
          <w:trHeight w:val="626"/>
        </w:trPr>
        <w:tc>
          <w:tcPr>
            <w:tcW w:w="1560" w:type="dxa"/>
            <w:vMerge w:val="restart"/>
            <w:tcBorders>
              <w:top w:val="single" w:sz="4" w:space="0" w:color="000000"/>
              <w:right w:val="single" w:sz="4" w:space="0" w:color="000000"/>
            </w:tcBorders>
            <w:textDirection w:val="btLr"/>
            <w:vAlign w:val="center"/>
          </w:tcPr>
          <w:p w:rsidR="00753DB9" w:rsidRPr="007B5447" w:rsidRDefault="00753DB9" w:rsidP="00680288">
            <w:pPr>
              <w:keepNext/>
              <w:keepLines/>
              <w:ind w:left="113" w:right="113"/>
              <w:jc w:val="center"/>
              <w:rPr>
                <w:rFonts w:ascii="SimHei" w:eastAsia="SimHei" w:hAnsi="SimHei" w:hint="eastAsia"/>
                <w:b/>
                <w:sz w:val="20"/>
                <w:lang w:eastAsia="zh-CN"/>
              </w:rPr>
            </w:pPr>
            <w:r w:rsidRPr="007B5447">
              <w:rPr>
                <w:rFonts w:ascii="SimHei" w:eastAsia="SimHei" w:hAnsi="SimHei" w:hint="eastAsia"/>
                <w:b/>
                <w:sz w:val="20"/>
                <w:lang w:eastAsia="zh-CN"/>
              </w:rPr>
              <w:t>中欧和</w:t>
            </w:r>
          </w:p>
          <w:p w:rsidR="00753DB9" w:rsidRPr="007B5447" w:rsidRDefault="00753DB9" w:rsidP="00680288">
            <w:pPr>
              <w:keepNext/>
              <w:keepLines/>
              <w:ind w:left="113" w:right="113"/>
              <w:jc w:val="center"/>
              <w:rPr>
                <w:rFonts w:ascii="SimHei" w:eastAsia="SimHei" w:hAnsi="SimHei"/>
                <w:b/>
                <w:sz w:val="20"/>
              </w:rPr>
            </w:pPr>
            <w:r w:rsidRPr="007B5447">
              <w:rPr>
                <w:rFonts w:ascii="SimHei" w:eastAsia="SimHei" w:hAnsi="SimHei" w:hint="eastAsia"/>
                <w:b/>
                <w:sz w:val="20"/>
                <w:lang w:eastAsia="zh-CN"/>
              </w:rPr>
              <w:t>东欧</w:t>
            </w: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rPr>
                <w:sz w:val="20"/>
                <w:lang w:eastAsia="zh-CN"/>
              </w:rPr>
            </w:pPr>
            <w:r w:rsidRPr="007B5447">
              <w:rPr>
                <w:sz w:val="20"/>
                <w:lang w:val="en-US" w:eastAsia="zh-CN"/>
              </w:rPr>
              <w:t>斯德哥尔摩公约设于捷克共和国的能力建设与技术转让区域中心（斯德哥尔摩公约捷克共和国区域中心）</w:t>
            </w:r>
          </w:p>
        </w:tc>
      </w:tr>
      <w:tr w:rsidR="00753DB9" w:rsidRPr="007B5447" w:rsidTr="00680288">
        <w:trPr>
          <w:cantSplit/>
          <w:trHeight w:val="453"/>
        </w:trPr>
        <w:tc>
          <w:tcPr>
            <w:tcW w:w="1560" w:type="dxa"/>
            <w:vMerge/>
            <w:tcBorders>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斯德哥尔摩公约设于俄罗斯联邦的能力建设与技术转让区域中心（斯德哥尔摩公约俄罗斯联邦区域中心）</w:t>
            </w:r>
          </w:p>
        </w:tc>
      </w:tr>
      <w:tr w:rsidR="00753DB9" w:rsidRPr="007B5447" w:rsidTr="00680288">
        <w:tc>
          <w:tcPr>
            <w:tcW w:w="1560" w:type="dxa"/>
            <w:vMerge w:val="restart"/>
            <w:tcBorders>
              <w:top w:val="single" w:sz="4" w:space="0" w:color="000000"/>
              <w:bottom w:val="single" w:sz="4" w:space="0" w:color="000000"/>
              <w:right w:val="single" w:sz="4" w:space="0" w:color="000000"/>
            </w:tcBorders>
            <w:textDirection w:val="btLr"/>
            <w:vAlign w:val="center"/>
          </w:tcPr>
          <w:p w:rsidR="00753DB9" w:rsidRPr="007B5447" w:rsidRDefault="00753DB9" w:rsidP="00680288">
            <w:pPr>
              <w:keepNext/>
              <w:keepLines/>
              <w:ind w:left="113" w:right="113"/>
              <w:jc w:val="center"/>
              <w:rPr>
                <w:b/>
                <w:sz w:val="20"/>
              </w:rPr>
            </w:pPr>
            <w:r w:rsidRPr="007B5447">
              <w:rPr>
                <w:rFonts w:ascii="SimHei" w:eastAsia="SimHei" w:hAnsi="SimHei" w:hint="eastAsia"/>
                <w:b/>
                <w:sz w:val="20"/>
                <w:lang w:eastAsia="zh-CN"/>
              </w:rPr>
              <w:t>拉丁美洲及加勒比</w:t>
            </w: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rPr>
                <w:sz w:val="20"/>
                <w:lang w:val="en-US" w:eastAsia="zh-CN"/>
              </w:rPr>
            </w:pPr>
            <w:r w:rsidRPr="007B5447">
              <w:rPr>
                <w:sz w:val="20"/>
                <w:lang w:val="en-US" w:eastAsia="zh-CN"/>
              </w:rPr>
              <w:t>斯德哥尔摩公约设于巴西的能力建设与技术转让区域中心（斯德哥尔摩公约巴西区域中心</w:t>
            </w:r>
            <w:r w:rsidRPr="007B5447">
              <w:rPr>
                <w:sz w:val="20"/>
                <w:lang w:val="en-US" w:eastAsia="zh-CN"/>
              </w:rPr>
              <w:t xml:space="preserve"> </w:t>
            </w:r>
            <w:r w:rsidRPr="007B5447">
              <w:rPr>
                <w:sz w:val="20"/>
                <w:lang w:val="en-US" w:eastAsia="zh-CN"/>
              </w:rPr>
              <w:t>）</w:t>
            </w:r>
          </w:p>
        </w:tc>
      </w:tr>
      <w:tr w:rsidR="00753DB9" w:rsidRPr="007B5447" w:rsidTr="00680288">
        <w:trPr>
          <w:trHeight w:val="295"/>
        </w:trPr>
        <w:tc>
          <w:tcPr>
            <w:tcW w:w="1560" w:type="dxa"/>
            <w:vMerge/>
            <w:tcBorders>
              <w:top w:val="single" w:sz="4" w:space="0" w:color="000000"/>
              <w:bottom w:val="single" w:sz="4" w:space="0" w:color="000000"/>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val="en-US"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Next/>
              <w:keepLines/>
              <w:spacing w:before="120" w:after="120"/>
              <w:rPr>
                <w:rFonts w:eastAsia="Calibri"/>
                <w:color w:val="000000"/>
                <w:sz w:val="20"/>
                <w:lang w:eastAsia="zh-CN"/>
              </w:rPr>
            </w:pPr>
            <w:r w:rsidRPr="007B5447">
              <w:rPr>
                <w:sz w:val="20"/>
                <w:lang w:val="en-US" w:eastAsia="zh-CN"/>
              </w:rPr>
              <w:t>斯德哥尔摩公约设于墨西哥的能力建设与技术转让区域中心（斯德哥尔摩公约墨西哥区域中心</w:t>
            </w:r>
            <w:r w:rsidRPr="007B5447">
              <w:rPr>
                <w:sz w:val="20"/>
                <w:lang w:val="en-US" w:eastAsia="zh-CN"/>
              </w:rPr>
              <w:t xml:space="preserve"> </w:t>
            </w:r>
            <w:r w:rsidRPr="007B5447">
              <w:rPr>
                <w:sz w:val="20"/>
                <w:lang w:val="en-US" w:eastAsia="zh-CN"/>
              </w:rPr>
              <w:t>）</w:t>
            </w:r>
          </w:p>
        </w:tc>
      </w:tr>
      <w:tr w:rsidR="00753DB9" w:rsidRPr="007B5447" w:rsidTr="00680288">
        <w:tc>
          <w:tcPr>
            <w:tcW w:w="1560" w:type="dxa"/>
            <w:vMerge/>
            <w:tcBorders>
              <w:top w:val="single" w:sz="4" w:space="0" w:color="000000"/>
              <w:bottom w:val="single" w:sz="4" w:space="0" w:color="000000"/>
              <w:right w:val="single" w:sz="4" w:space="0" w:color="000000"/>
            </w:tcBorders>
            <w:textDirection w:val="btLr"/>
            <w:vAlign w:val="center"/>
          </w:tcPr>
          <w:p w:rsidR="00753DB9" w:rsidRPr="007B5447" w:rsidRDefault="00753DB9" w:rsidP="00680288">
            <w:pPr>
              <w:keepNext/>
              <w:keepLines/>
              <w:spacing w:after="200" w:line="276" w:lineRule="auto"/>
              <w:ind w:left="113" w:right="113"/>
              <w:jc w:val="center"/>
              <w:rPr>
                <w:rFonts w:eastAsia="Calibri"/>
                <w:b/>
                <w:sz w:val="20"/>
                <w:lang w:val="en-US"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spacing w:before="120" w:after="120"/>
              <w:rPr>
                <w:rFonts w:eastAsia="Calibri"/>
                <w:color w:val="000000"/>
                <w:sz w:val="20"/>
                <w:lang w:eastAsia="zh-CN"/>
              </w:rPr>
            </w:pPr>
            <w:r w:rsidRPr="007B5447">
              <w:rPr>
                <w:sz w:val="20"/>
                <w:lang w:val="en-US" w:eastAsia="zh-CN"/>
              </w:rPr>
              <w:t>斯德哥尔摩公约设于巴拿马的能力建设与技术转让区域中心（斯德哥尔摩公约巴拿马区域中心）</w:t>
            </w:r>
          </w:p>
        </w:tc>
      </w:tr>
      <w:tr w:rsidR="00753DB9" w:rsidRPr="007B5447" w:rsidTr="00680288">
        <w:trPr>
          <w:trHeight w:val="465"/>
        </w:trPr>
        <w:tc>
          <w:tcPr>
            <w:tcW w:w="1560" w:type="dxa"/>
            <w:vMerge/>
            <w:tcBorders>
              <w:top w:val="single" w:sz="4" w:space="0" w:color="000000"/>
              <w:bottom w:val="single" w:sz="4" w:space="0" w:color="000000"/>
              <w:right w:val="single" w:sz="4" w:space="0" w:color="000000"/>
            </w:tcBorders>
            <w:textDirection w:val="btLr"/>
            <w:vAlign w:val="center"/>
          </w:tcPr>
          <w:p w:rsidR="00753DB9" w:rsidRPr="007B5447" w:rsidRDefault="00753DB9" w:rsidP="00680288">
            <w:pPr>
              <w:keepLines/>
              <w:spacing w:after="200" w:line="276" w:lineRule="auto"/>
              <w:ind w:left="113" w:right="113"/>
              <w:jc w:val="center"/>
              <w:rPr>
                <w:rFonts w:eastAsia="Calibri"/>
                <w:b/>
                <w:sz w:val="20"/>
                <w:lang w:val="en-US" w:eastAsia="zh-CN"/>
              </w:rPr>
            </w:pP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spacing w:before="120" w:after="120"/>
              <w:rPr>
                <w:rFonts w:eastAsia="Calibri"/>
                <w:color w:val="000000"/>
                <w:sz w:val="20"/>
                <w:lang w:eastAsia="zh-CN"/>
              </w:rPr>
            </w:pPr>
            <w:r w:rsidRPr="007B5447">
              <w:rPr>
                <w:sz w:val="20"/>
                <w:lang w:val="en-US" w:eastAsia="zh-CN"/>
              </w:rPr>
              <w:t>斯德哥尔摩公约设于乌拉圭的能力建设与技术转让区域中心（斯德哥尔摩公约乌拉圭区域中心</w:t>
            </w:r>
            <w:r w:rsidRPr="007B5447">
              <w:rPr>
                <w:sz w:val="20"/>
                <w:lang w:val="en-US" w:eastAsia="zh-CN"/>
              </w:rPr>
              <w:t xml:space="preserve"> </w:t>
            </w:r>
            <w:r w:rsidRPr="007B5447">
              <w:rPr>
                <w:sz w:val="20"/>
                <w:lang w:val="en-US" w:eastAsia="zh-CN"/>
              </w:rPr>
              <w:t>）</w:t>
            </w:r>
          </w:p>
        </w:tc>
      </w:tr>
      <w:tr w:rsidR="00753DB9" w:rsidRPr="007B5447" w:rsidTr="00680288">
        <w:trPr>
          <w:cantSplit/>
          <w:trHeight w:val="985"/>
        </w:trPr>
        <w:tc>
          <w:tcPr>
            <w:tcW w:w="1560" w:type="dxa"/>
            <w:tcBorders>
              <w:top w:val="single" w:sz="4" w:space="0" w:color="000000"/>
              <w:bottom w:val="single" w:sz="4" w:space="0" w:color="000000"/>
              <w:right w:val="single" w:sz="4" w:space="0" w:color="000000"/>
            </w:tcBorders>
            <w:textDirection w:val="btLr"/>
            <w:vAlign w:val="center"/>
          </w:tcPr>
          <w:p w:rsidR="00753DB9" w:rsidRPr="007B5447" w:rsidRDefault="00753DB9" w:rsidP="00680288">
            <w:pPr>
              <w:keepLines/>
              <w:ind w:left="113" w:right="113"/>
              <w:rPr>
                <w:rFonts w:ascii="SimHei" w:eastAsia="SimHei" w:hAnsi="SimHei"/>
                <w:b/>
                <w:sz w:val="20"/>
                <w:lang w:eastAsia="zh-CN"/>
              </w:rPr>
            </w:pPr>
            <w:r w:rsidRPr="007B5447">
              <w:rPr>
                <w:rFonts w:ascii="SimHei" w:eastAsia="SimHei" w:hAnsi="SimHei" w:hint="eastAsia"/>
                <w:b/>
                <w:sz w:val="20"/>
                <w:lang w:eastAsia="zh-CN"/>
              </w:rPr>
              <w:t>西欧和其他国家</w:t>
            </w:r>
          </w:p>
        </w:tc>
        <w:tc>
          <w:tcPr>
            <w:tcW w:w="7798" w:type="dxa"/>
            <w:tcBorders>
              <w:top w:val="single" w:sz="4" w:space="0" w:color="000000"/>
              <w:left w:val="single" w:sz="4" w:space="0" w:color="000000"/>
              <w:bottom w:val="single" w:sz="4" w:space="0" w:color="000000"/>
              <w:right w:val="single" w:sz="4" w:space="0" w:color="000000"/>
            </w:tcBorders>
          </w:tcPr>
          <w:p w:rsidR="00753DB9" w:rsidRPr="007B5447" w:rsidRDefault="00753DB9" w:rsidP="00680288">
            <w:pPr>
              <w:keepLines/>
              <w:spacing w:before="100" w:beforeAutospacing="1" w:after="100" w:afterAutospacing="1"/>
              <w:rPr>
                <w:sz w:val="20"/>
                <w:lang w:eastAsia="zh-CN"/>
              </w:rPr>
            </w:pPr>
            <w:r w:rsidRPr="007B5447">
              <w:rPr>
                <w:sz w:val="20"/>
                <w:lang w:val="en-US" w:eastAsia="zh-CN"/>
              </w:rPr>
              <w:t>斯德哥尔摩公约设于西班牙的能力建设与技术转让区域中心（斯德哥尔摩公约西班牙区域中心</w:t>
            </w:r>
            <w:r w:rsidRPr="007B5447">
              <w:rPr>
                <w:sz w:val="20"/>
                <w:lang w:val="en-US" w:eastAsia="zh-CN"/>
              </w:rPr>
              <w:t xml:space="preserve"> </w:t>
            </w:r>
            <w:r w:rsidRPr="007B5447">
              <w:rPr>
                <w:sz w:val="20"/>
                <w:lang w:val="en-US" w:eastAsia="zh-CN"/>
              </w:rPr>
              <w:t>）</w:t>
            </w:r>
          </w:p>
        </w:tc>
      </w:tr>
    </w:tbl>
    <w:p w:rsidR="000B18ED" w:rsidRDefault="000B18ED">
      <w:pPr>
        <w:rPr>
          <w:lang w:eastAsia="zh-CN"/>
        </w:rPr>
      </w:pPr>
    </w:p>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31" w:rsidRDefault="00582631" w:rsidP="00753DB9">
      <w:r>
        <w:separator/>
      </w:r>
    </w:p>
  </w:endnote>
  <w:endnote w:type="continuationSeparator" w:id="0">
    <w:p w:rsidR="00582631" w:rsidRDefault="00582631" w:rsidP="00753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31" w:rsidRDefault="00582631" w:rsidP="00753DB9">
      <w:r>
        <w:separator/>
      </w:r>
    </w:p>
  </w:footnote>
  <w:footnote w:type="continuationSeparator" w:id="0">
    <w:p w:rsidR="00582631" w:rsidRDefault="00582631" w:rsidP="00753DB9">
      <w:r>
        <w:continuationSeparator/>
      </w:r>
    </w:p>
  </w:footnote>
  <w:footnote w:id="1">
    <w:p w:rsidR="00753DB9" w:rsidRPr="00D657FD" w:rsidRDefault="00753DB9" w:rsidP="00753DB9">
      <w:pPr>
        <w:pStyle w:val="FootnoteText"/>
        <w:rPr>
          <w:rFonts w:hint="eastAsia"/>
          <w:sz w:val="20"/>
          <w:lang w:eastAsia="zh-CN"/>
        </w:rPr>
      </w:pPr>
      <w:r w:rsidRPr="00D657FD">
        <w:rPr>
          <w:rStyle w:val="FootnoteReference"/>
          <w:sz w:val="20"/>
        </w:rPr>
        <w:footnoteRef/>
      </w:r>
      <w:r w:rsidRPr="00D657FD">
        <w:rPr>
          <w:sz w:val="20"/>
        </w:rPr>
        <w:t xml:space="preserve"> </w:t>
      </w:r>
      <w:r w:rsidRPr="00D657FD">
        <w:rPr>
          <w:sz w:val="20"/>
        </w:rPr>
        <w:t>第</w:t>
      </w:r>
      <w:r w:rsidRPr="00D657FD">
        <w:rPr>
          <w:sz w:val="20"/>
        </w:rPr>
        <w:t>BC.Ex-2/1</w:t>
      </w:r>
      <w:r w:rsidRPr="00D657FD">
        <w:rPr>
          <w:sz w:val="20"/>
        </w:rPr>
        <w:t>、</w:t>
      </w:r>
      <w:r w:rsidRPr="00D657FD">
        <w:rPr>
          <w:sz w:val="20"/>
        </w:rPr>
        <w:t>RC.Ex-2/1</w:t>
      </w:r>
      <w:r w:rsidRPr="00D657FD">
        <w:rPr>
          <w:sz w:val="20"/>
        </w:rPr>
        <w:t>、</w:t>
      </w:r>
      <w:r w:rsidRPr="00D657FD">
        <w:rPr>
          <w:sz w:val="20"/>
        </w:rPr>
        <w:t>SC.Ex-2/1</w:t>
      </w:r>
      <w:proofErr w:type="spellStart"/>
      <w:r w:rsidRPr="00D657FD">
        <w:rPr>
          <w:sz w:val="20"/>
        </w:rPr>
        <w:t>号决定，附件一</w:t>
      </w:r>
      <w:proofErr w:type="spellEnd"/>
      <w:r w:rsidRPr="00D657FD">
        <w:rPr>
          <w:sz w:val="20"/>
        </w:rPr>
        <w:t>。</w:t>
      </w:r>
    </w:p>
  </w:footnote>
  <w:footnote w:id="2">
    <w:p w:rsidR="00753DB9" w:rsidRPr="00D657FD" w:rsidRDefault="00753DB9" w:rsidP="00753DB9">
      <w:pPr>
        <w:pStyle w:val="FootnoteText"/>
        <w:rPr>
          <w:rFonts w:hint="eastAsia"/>
          <w:sz w:val="20"/>
          <w:lang w:eastAsia="zh-CN"/>
        </w:rPr>
      </w:pPr>
      <w:r w:rsidRPr="00D657FD">
        <w:rPr>
          <w:rStyle w:val="FootnoteReference"/>
          <w:sz w:val="20"/>
        </w:rPr>
        <w:footnoteRef/>
      </w:r>
      <w:r w:rsidRPr="00D657FD">
        <w:rPr>
          <w:sz w:val="20"/>
        </w:rPr>
        <w:t xml:space="preserve"> UNEP/POPS/COP.7/11</w:t>
      </w:r>
      <w:r w:rsidRPr="00D657FD">
        <w:rPr>
          <w:rFonts w:hint="eastAsia"/>
          <w:sz w:val="20"/>
          <w:lang w:eastAsia="zh-CN"/>
        </w:rPr>
        <w:t>。</w:t>
      </w:r>
    </w:p>
  </w:footnote>
  <w:footnote w:id="3">
    <w:p w:rsidR="00753DB9" w:rsidRPr="00D657FD" w:rsidRDefault="00753DB9" w:rsidP="00753DB9">
      <w:pPr>
        <w:pStyle w:val="FootnoteText"/>
        <w:rPr>
          <w:sz w:val="20"/>
        </w:rPr>
      </w:pPr>
      <w:r w:rsidRPr="00D657FD">
        <w:rPr>
          <w:rStyle w:val="FootnoteReference"/>
          <w:sz w:val="20"/>
        </w:rPr>
        <w:footnoteRef/>
      </w:r>
      <w:r w:rsidRPr="00D657FD">
        <w:rPr>
          <w:sz w:val="20"/>
        </w:rPr>
        <w:t xml:space="preserve"> </w:t>
      </w:r>
      <w:r w:rsidRPr="00D657FD">
        <w:rPr>
          <w:sz w:val="20"/>
        </w:rPr>
        <w:t>可在</w:t>
      </w:r>
      <w:hyperlink r:id="rId1" w:history="1">
        <w:r w:rsidRPr="00D657FD">
          <w:rPr>
            <w:rStyle w:val="Hyperlink"/>
          </w:rPr>
          <w:t>http://chm.pops.int/Partners/RegionalCentres/Workplans/tabid/482/Default.aspx</w:t>
        </w:r>
      </w:hyperlink>
      <w:proofErr w:type="spellStart"/>
      <w:r w:rsidRPr="00D657FD">
        <w:rPr>
          <w:sz w:val="20"/>
        </w:rPr>
        <w:t>查询</w:t>
      </w:r>
      <w:proofErr w:type="spellEnd"/>
      <w:r w:rsidRPr="00D657FD">
        <w:rPr>
          <w:sz w:val="20"/>
        </w:rPr>
        <w:t>。</w:t>
      </w:r>
      <w:r w:rsidRPr="00D657FD">
        <w:rPr>
          <w:sz w:val="20"/>
        </w:rPr>
        <w:t xml:space="preserve"> </w:t>
      </w:r>
    </w:p>
  </w:footnote>
  <w:footnote w:id="4">
    <w:p w:rsidR="00753DB9" w:rsidRPr="00D657FD" w:rsidRDefault="00753DB9" w:rsidP="00753DB9">
      <w:pPr>
        <w:pStyle w:val="FootnoteText"/>
        <w:rPr>
          <w:rFonts w:hint="eastAsia"/>
          <w:sz w:val="20"/>
          <w:lang w:eastAsia="zh-CN"/>
        </w:rPr>
      </w:pPr>
      <w:r w:rsidRPr="00D657FD">
        <w:rPr>
          <w:rStyle w:val="FootnoteReference"/>
          <w:sz w:val="20"/>
        </w:rPr>
        <w:footnoteRef/>
      </w:r>
      <w:r w:rsidRPr="00D657FD">
        <w:rPr>
          <w:rFonts w:hint="eastAsia"/>
          <w:sz w:val="20"/>
          <w:lang w:eastAsia="zh-CN"/>
        </w:rPr>
        <w:t xml:space="preserve"> </w:t>
      </w:r>
      <w:r w:rsidRPr="00D657FD">
        <w:rPr>
          <w:sz w:val="20"/>
        </w:rPr>
        <w:t>可在</w:t>
      </w:r>
      <w:hyperlink r:id="rId2" w:history="1">
        <w:r w:rsidRPr="00D657FD">
          <w:rPr>
            <w:rStyle w:val="Hyperlink"/>
          </w:rPr>
          <w:t>http://chm.pops.int/Partners/RegionalCentres/ActivitiesReport/tabid/4112/Default.aspx</w:t>
        </w:r>
      </w:hyperlink>
      <w:r w:rsidRPr="00D657FD">
        <w:rPr>
          <w:rFonts w:hint="eastAsia"/>
          <w:sz w:val="20"/>
          <w:lang w:eastAsia="zh-CN"/>
        </w:rPr>
        <w:t>查询。</w:t>
      </w:r>
    </w:p>
  </w:footnote>
  <w:footnote w:id="5">
    <w:p w:rsidR="00753DB9" w:rsidRPr="00D657FD" w:rsidRDefault="00753DB9" w:rsidP="00753DB9">
      <w:pPr>
        <w:pStyle w:val="FootnoteText"/>
        <w:rPr>
          <w:rFonts w:hint="eastAsia"/>
          <w:sz w:val="20"/>
          <w:lang w:eastAsia="zh-CN"/>
        </w:rPr>
      </w:pPr>
      <w:r w:rsidRPr="00D657FD">
        <w:rPr>
          <w:rStyle w:val="FootnoteReference"/>
          <w:sz w:val="20"/>
        </w:rPr>
        <w:footnoteRef/>
      </w:r>
      <w:r w:rsidRPr="00D657FD">
        <w:rPr>
          <w:sz w:val="20"/>
        </w:rPr>
        <w:t xml:space="preserve"> </w:t>
      </w:r>
      <w:proofErr w:type="spellStart"/>
      <w:r w:rsidRPr="00D657FD">
        <w:rPr>
          <w:sz w:val="20"/>
        </w:rPr>
        <w:t>见</w:t>
      </w:r>
      <w:r w:rsidRPr="00D657FD">
        <w:rPr>
          <w:sz w:val="20"/>
        </w:rPr>
        <w:t>UNEP</w:t>
      </w:r>
      <w:proofErr w:type="spellEnd"/>
      <w:r w:rsidRPr="00D657FD">
        <w:rPr>
          <w:sz w:val="20"/>
        </w:rPr>
        <w:t>/CHW.12/INF/21-UNEP/POPS/COP.7/INF/13</w:t>
      </w:r>
      <w:r w:rsidRPr="00D657FD">
        <w:rPr>
          <w:sz w:val="20"/>
        </w:rPr>
        <w:t>。</w:t>
      </w:r>
    </w:p>
  </w:footnote>
  <w:footnote w:id="6">
    <w:p w:rsidR="00753DB9" w:rsidRPr="00D657FD" w:rsidRDefault="00753DB9" w:rsidP="00753DB9">
      <w:pPr>
        <w:pStyle w:val="FootnoteText"/>
        <w:rPr>
          <w:sz w:val="20"/>
        </w:rPr>
      </w:pPr>
      <w:r w:rsidRPr="00D657FD">
        <w:rPr>
          <w:rStyle w:val="FootnoteReference"/>
          <w:sz w:val="20"/>
        </w:rPr>
        <w:footnoteRef/>
      </w:r>
      <w:r w:rsidRPr="00D657FD">
        <w:rPr>
          <w:sz w:val="20"/>
        </w:rPr>
        <w:t xml:space="preserve"> UNEP/ POPS/COP.7/11</w:t>
      </w:r>
      <w:r w:rsidRPr="00D657FD">
        <w:rPr>
          <w:rFonts w:hint="eastAsia"/>
          <w:sz w:val="20"/>
          <w:lang w:eastAsia="zh-CN"/>
        </w:rPr>
        <w:t>，附件二。</w:t>
      </w:r>
    </w:p>
  </w:footnote>
  <w:footnote w:id="7">
    <w:p w:rsidR="00753DB9" w:rsidRPr="00D657FD" w:rsidRDefault="00753DB9" w:rsidP="00753DB9">
      <w:pPr>
        <w:pStyle w:val="FootnoteText"/>
        <w:rPr>
          <w:rFonts w:hint="eastAsia"/>
          <w:sz w:val="20"/>
          <w:lang w:eastAsia="zh-CN"/>
        </w:rPr>
      </w:pPr>
      <w:r w:rsidRPr="00D657FD">
        <w:rPr>
          <w:rStyle w:val="FootnoteReference"/>
          <w:sz w:val="20"/>
        </w:rPr>
        <w:footnoteRef/>
      </w:r>
      <w:r w:rsidRPr="00D657FD">
        <w:rPr>
          <w:sz w:val="20"/>
        </w:rPr>
        <w:t xml:space="preserve"> </w:t>
      </w:r>
      <w:r w:rsidRPr="00D657FD">
        <w:rPr>
          <w:rFonts w:hint="eastAsia"/>
          <w:sz w:val="20"/>
          <w:lang w:eastAsia="zh-CN"/>
        </w:rPr>
        <w:t>见</w:t>
      </w:r>
      <w:r w:rsidRPr="00D657FD">
        <w:rPr>
          <w:sz w:val="20"/>
        </w:rPr>
        <w:t>UNEP/CHW.12/INF/20-UNEP/POPS/COP.7/INF/14</w:t>
      </w:r>
      <w:r w:rsidRPr="00D657FD">
        <w:rPr>
          <w:rFonts w:hint="eastAsia"/>
          <w:sz w:val="20"/>
          <w:lang w:eastAsia="zh-CN"/>
        </w:rPr>
        <w:t>。</w:t>
      </w:r>
    </w:p>
  </w:footnote>
  <w:footnote w:id="8">
    <w:p w:rsidR="00753DB9" w:rsidRDefault="00753DB9" w:rsidP="00753DB9">
      <w:pPr>
        <w:pStyle w:val="FootnoteText"/>
        <w:rPr>
          <w:szCs w:val="18"/>
        </w:rPr>
      </w:pPr>
      <w:r w:rsidRPr="00D657FD">
        <w:rPr>
          <w:rStyle w:val="FootnoteReference"/>
          <w:sz w:val="20"/>
        </w:rPr>
        <w:footnoteRef/>
      </w:r>
      <w:r w:rsidRPr="00D657FD">
        <w:rPr>
          <w:sz w:val="20"/>
        </w:rPr>
        <w:t xml:space="preserve"> </w:t>
      </w:r>
      <w:r w:rsidRPr="00D657FD">
        <w:rPr>
          <w:rFonts w:hint="eastAsia"/>
          <w:sz w:val="20"/>
          <w:lang w:eastAsia="zh-CN"/>
        </w:rPr>
        <w:t>第</w:t>
      </w:r>
      <w:r w:rsidRPr="00D657FD">
        <w:rPr>
          <w:sz w:val="20"/>
        </w:rPr>
        <w:t>SC-4/23</w:t>
      </w:r>
      <w:r w:rsidRPr="00D657FD">
        <w:rPr>
          <w:rFonts w:hint="eastAsia"/>
          <w:sz w:val="20"/>
          <w:lang w:eastAsia="zh-CN"/>
        </w:rPr>
        <w:t>、</w:t>
      </w:r>
      <w:r w:rsidRPr="00D657FD">
        <w:rPr>
          <w:sz w:val="20"/>
        </w:rPr>
        <w:t>SC-5/21</w:t>
      </w:r>
      <w:r w:rsidRPr="00D657FD">
        <w:rPr>
          <w:rFonts w:hint="eastAsia"/>
          <w:sz w:val="20"/>
          <w:lang w:eastAsia="zh-CN"/>
        </w:rPr>
        <w:t>和</w:t>
      </w:r>
      <w:r w:rsidRPr="00D657FD">
        <w:rPr>
          <w:sz w:val="20"/>
        </w:rPr>
        <w:t>SC-6/16</w:t>
      </w:r>
      <w:r w:rsidRPr="00D657FD">
        <w:rPr>
          <w:rFonts w:hint="eastAsia"/>
          <w:sz w:val="20"/>
          <w:lang w:eastAsia="zh-CN"/>
        </w:rPr>
        <w:t>号决定。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6C32478A"/>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num w:numId="1">
    <w:abstractNumId w:val="0"/>
  </w:num>
  <w:num w:numId="2">
    <w:abstractNumId w:val="0"/>
    <w:lvlOverride w:ilvl="0">
      <w:startOverride w:val="1"/>
      <w:lvl w:ilvl="0">
        <w:start w:val="1"/>
        <w:numFmt w:val="decimal"/>
        <w:lvlText w:val="%1."/>
        <w:lvlJc w:val="left"/>
        <w:pPr>
          <w:tabs>
            <w:tab w:val="num" w:pos="567"/>
          </w:tabs>
          <w:ind w:left="1247" w:firstLine="0"/>
        </w:pPr>
        <w:rPr>
          <w:b w:val="0"/>
          <w:sz w:val="24"/>
          <w:szCs w:val="24"/>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753DB9"/>
    <w:rsid w:val="00045F3B"/>
    <w:rsid w:val="0009039B"/>
    <w:rsid w:val="000B18ED"/>
    <w:rsid w:val="002508C0"/>
    <w:rsid w:val="002E3F11"/>
    <w:rsid w:val="00475D4E"/>
    <w:rsid w:val="004B7AA0"/>
    <w:rsid w:val="0055191B"/>
    <w:rsid w:val="00582631"/>
    <w:rsid w:val="00753DB9"/>
    <w:rsid w:val="00771173"/>
    <w:rsid w:val="00893563"/>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B9"/>
    <w:pPr>
      <w:spacing w:after="0" w:line="240" w:lineRule="auto"/>
    </w:pPr>
    <w:rPr>
      <w:rFonts w:ascii="Times New Roman" w:eastAsia="SimSu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753DB9"/>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rsid w:val="00753DB9"/>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753DB9"/>
    <w:rPr>
      <w:rFonts w:ascii="Times New Roman" w:eastAsia="SimSun" w:hAnsi="Times New Roman" w:cs="Times New Roman"/>
      <w:sz w:val="20"/>
      <w:szCs w:val="20"/>
      <w:lang w:eastAsia="en-US"/>
    </w:rPr>
  </w:style>
  <w:style w:type="character" w:styleId="Hyperlink">
    <w:name w:val="Hyperlink"/>
    <w:uiPriority w:val="99"/>
    <w:semiHidden/>
    <w:rsid w:val="00753DB9"/>
    <w:rPr>
      <w:rFonts w:ascii="Times New Roman" w:hAnsi="Times New Roman" w:cs="Times New Roman"/>
      <w:color w:val="auto"/>
      <w:sz w:val="20"/>
      <w:u w:val="none"/>
      <w:lang w:val="fr-FR"/>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753DB9"/>
    <w:rPr>
      <w:rFonts w:ascii="Times New Roman" w:eastAsia="SimSun" w:hAnsi="Times New Roman" w:cs="Times New Roman"/>
      <w:sz w:val="18"/>
      <w:szCs w:val="20"/>
      <w:lang w:val="fr-FR"/>
    </w:rPr>
  </w:style>
  <w:style w:type="numbering" w:customStyle="1" w:styleId="Normallist4">
    <w:name w:val="Normal_list4"/>
    <w:rsid w:val="00753DB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chm.pops.int/Partners/RegionalCentres/ActivitiesReport/tabid/4112/Default.aspx" TargetMode="External"/><Relationship Id="rId1" Type="http://schemas.openxmlformats.org/officeDocument/2006/relationships/hyperlink" Target="http://chm.pops.int/Partners/RegionalCentres/Workplans/tabid/48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2015-12-23T14:59:00Z</dcterms:created>
  <dcterms:modified xsi:type="dcterms:W3CDTF">2015-12-23T14:59:00Z</dcterms:modified>
</cp:coreProperties>
</file>