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0" w:type="dxa"/>
        <w:tblInd w:w="-176" w:type="dxa"/>
        <w:tblLayout w:type="fixed"/>
        <w:tblLook w:val="0000"/>
      </w:tblPr>
      <w:tblGrid>
        <w:gridCol w:w="1484"/>
        <w:gridCol w:w="1956"/>
        <w:gridCol w:w="388"/>
        <w:gridCol w:w="2765"/>
        <w:gridCol w:w="287"/>
        <w:gridCol w:w="2476"/>
        <w:gridCol w:w="921"/>
        <w:gridCol w:w="43"/>
      </w:tblGrid>
      <w:tr w:rsidR="00BA5708" w:rsidTr="00AF447E">
        <w:trPr>
          <w:gridAfter w:val="1"/>
          <w:wAfter w:w="43" w:type="dxa"/>
          <w:cantSplit/>
          <w:trHeight w:val="1268"/>
        </w:trPr>
        <w:tc>
          <w:tcPr>
            <w:tcW w:w="1484" w:type="dxa"/>
          </w:tcPr>
          <w:p w:rsidR="00BA5708" w:rsidRPr="005524EE" w:rsidRDefault="00BA5708" w:rsidP="005524EE">
            <w:pPr>
              <w:tabs>
                <w:tab w:val="left" w:pos="1247"/>
                <w:tab w:val="left" w:pos="1814"/>
                <w:tab w:val="left" w:pos="2381"/>
                <w:tab w:val="left" w:pos="2948"/>
                <w:tab w:val="left" w:pos="3515"/>
              </w:tabs>
              <w:rPr>
                <w:rFonts w:ascii="Arial" w:hAnsi="Arial"/>
                <w:b/>
                <w:caps/>
                <w:sz w:val="27"/>
                <w:szCs w:val="27"/>
                <w:lang w:val="fr-FR"/>
              </w:rPr>
            </w:pPr>
            <w:r w:rsidRPr="005524EE">
              <w:rPr>
                <w:rFonts w:ascii="Arial" w:hAnsi="Arial"/>
                <w:b/>
                <w:caps/>
                <w:sz w:val="27"/>
                <w:szCs w:val="27"/>
                <w:lang w:val="fr-FR"/>
              </w:rPr>
              <w:t>UNITED</w:t>
            </w:r>
          </w:p>
          <w:p w:rsidR="00BA5708" w:rsidRPr="00F2545C" w:rsidRDefault="00BA5708" w:rsidP="005524EE">
            <w:pPr>
              <w:tabs>
                <w:tab w:val="left" w:pos="1247"/>
                <w:tab w:val="left" w:pos="1814"/>
                <w:tab w:val="left" w:pos="2381"/>
                <w:tab w:val="left" w:pos="2948"/>
                <w:tab w:val="left" w:pos="3515"/>
              </w:tabs>
              <w:rPr>
                <w:rFonts w:ascii="Univers" w:hAnsi="Univers"/>
                <w:b/>
                <w:sz w:val="27"/>
              </w:rPr>
            </w:pPr>
            <w:r w:rsidRPr="005524EE">
              <w:rPr>
                <w:rFonts w:ascii="Arial" w:hAnsi="Arial"/>
                <w:b/>
                <w:caps/>
                <w:sz w:val="27"/>
                <w:szCs w:val="27"/>
                <w:lang w:val="fr-FR"/>
              </w:rPr>
              <w:t>NATIONS</w:t>
            </w:r>
            <w:r w:rsidRPr="00F2545C" w:rsidDel="00F2545C">
              <w:rPr>
                <w:rFonts w:ascii="Univers" w:hAnsi="Univers"/>
                <w:b/>
                <w:sz w:val="27"/>
              </w:rPr>
              <w:t xml:space="preserve"> </w:t>
            </w:r>
          </w:p>
        </w:tc>
        <w:tc>
          <w:tcPr>
            <w:tcW w:w="2344" w:type="dxa"/>
            <w:gridSpan w:val="2"/>
          </w:tcPr>
          <w:p w:rsidR="00BA5708" w:rsidRDefault="00233CFF" w:rsidP="0059421C">
            <w:pPr>
              <w:spacing w:before="60" w:after="60"/>
              <w:rPr>
                <w:b/>
                <w:bCs/>
                <w:lang w:val="en-US"/>
              </w:rPr>
            </w:pPr>
            <w:r>
              <w:rPr>
                <w:noProof/>
                <w:lang w:val="en-US" w:eastAsia="zh-TW"/>
              </w:rPr>
              <w:drawing>
                <wp:inline distT="0" distB="0" distL="0" distR="0">
                  <wp:extent cx="1371600" cy="733425"/>
                  <wp:effectExtent l="19050" t="0" r="0" b="0"/>
                  <wp:docPr id="1" name="Picture 1" descr="unep-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un"/>
                          <pic:cNvPicPr>
                            <a:picLocks noChangeAspect="1" noChangeArrowheads="1"/>
                          </pic:cNvPicPr>
                        </pic:nvPicPr>
                        <pic:blipFill>
                          <a:blip r:embed="rId8" cstate="print"/>
                          <a:srcRect/>
                          <a:stretch>
                            <a:fillRect/>
                          </a:stretch>
                        </pic:blipFill>
                        <pic:spPr bwMode="auto">
                          <a:xfrm>
                            <a:off x="0" y="0"/>
                            <a:ext cx="1371600" cy="733425"/>
                          </a:xfrm>
                          <a:prstGeom prst="rect">
                            <a:avLst/>
                          </a:prstGeom>
                          <a:noFill/>
                          <a:ln w="9525">
                            <a:noFill/>
                            <a:miter lim="800000"/>
                            <a:headEnd/>
                            <a:tailEnd/>
                          </a:ln>
                        </pic:spPr>
                      </pic:pic>
                    </a:graphicData>
                  </a:graphic>
                </wp:inline>
              </w:drawing>
            </w:r>
          </w:p>
        </w:tc>
        <w:tc>
          <w:tcPr>
            <w:tcW w:w="5528" w:type="dxa"/>
            <w:gridSpan w:val="3"/>
          </w:tcPr>
          <w:p w:rsidR="00BA5708" w:rsidRPr="00BA5708" w:rsidRDefault="00233CFF" w:rsidP="00722881">
            <w:pPr>
              <w:pStyle w:val="Heading2"/>
              <w:keepNext w:val="0"/>
              <w:ind w:left="-74"/>
              <w:rPr>
                <w:sz w:val="20"/>
                <w:szCs w:val="20"/>
              </w:rPr>
            </w:pPr>
            <w:r>
              <w:rPr>
                <w:rFonts w:ascii="Arial" w:hAnsi="Arial" w:cs="Arial"/>
                <w:noProof/>
                <w:sz w:val="20"/>
                <w:szCs w:val="20"/>
                <w:lang w:val="en-US" w:eastAsia="zh-TW"/>
              </w:rPr>
              <w:drawing>
                <wp:inline distT="0" distB="0" distL="0" distR="0">
                  <wp:extent cx="1990725" cy="600075"/>
                  <wp:effectExtent l="19050" t="0" r="9525" b="0"/>
                  <wp:docPr id="2" name="Picture 2" descr="FAO_logo_Black_3lines_e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_logo_Black_3lines_en7"/>
                          <pic:cNvPicPr>
                            <a:picLocks noChangeAspect="1" noChangeArrowheads="1"/>
                          </pic:cNvPicPr>
                        </pic:nvPicPr>
                        <pic:blipFill>
                          <a:blip r:embed="rId9" cstate="print"/>
                          <a:srcRect/>
                          <a:stretch>
                            <a:fillRect/>
                          </a:stretch>
                        </pic:blipFill>
                        <pic:spPr bwMode="auto">
                          <a:xfrm>
                            <a:off x="0" y="0"/>
                            <a:ext cx="1990725" cy="600075"/>
                          </a:xfrm>
                          <a:prstGeom prst="rect">
                            <a:avLst/>
                          </a:prstGeom>
                          <a:noFill/>
                          <a:ln w="9525">
                            <a:noFill/>
                            <a:miter lim="800000"/>
                            <a:headEnd/>
                            <a:tailEnd/>
                          </a:ln>
                        </pic:spPr>
                      </pic:pic>
                    </a:graphicData>
                  </a:graphic>
                </wp:inline>
              </w:drawing>
            </w:r>
          </w:p>
        </w:tc>
        <w:tc>
          <w:tcPr>
            <w:tcW w:w="921" w:type="dxa"/>
          </w:tcPr>
          <w:p w:rsidR="00BA5708" w:rsidRPr="00D30328" w:rsidRDefault="00BA5708" w:rsidP="00D30328">
            <w:pPr>
              <w:jc w:val="right"/>
              <w:rPr>
                <w:rFonts w:ascii="Arial" w:hAnsi="Arial" w:cs="Arial"/>
                <w:b/>
                <w:bCs/>
                <w:sz w:val="40"/>
                <w:szCs w:val="40"/>
              </w:rPr>
            </w:pPr>
            <w:r w:rsidRPr="00D30328">
              <w:rPr>
                <w:rFonts w:ascii="Arial" w:hAnsi="Arial" w:cs="Arial"/>
                <w:b/>
                <w:bCs/>
                <w:sz w:val="40"/>
                <w:szCs w:val="40"/>
              </w:rPr>
              <w:t>BC</w:t>
            </w:r>
          </w:p>
          <w:p w:rsidR="00BA5708" w:rsidRPr="00D30328" w:rsidRDefault="00BA5708" w:rsidP="00BA5708">
            <w:pPr>
              <w:jc w:val="right"/>
              <w:rPr>
                <w:rFonts w:ascii="Arial" w:hAnsi="Arial" w:cs="Arial"/>
                <w:b/>
                <w:bCs/>
                <w:sz w:val="40"/>
                <w:szCs w:val="40"/>
              </w:rPr>
            </w:pPr>
            <w:r w:rsidRPr="00D30328">
              <w:rPr>
                <w:rFonts w:ascii="Arial" w:hAnsi="Arial" w:cs="Arial"/>
                <w:b/>
                <w:bCs/>
                <w:sz w:val="40"/>
                <w:szCs w:val="40"/>
              </w:rPr>
              <w:t>RC</w:t>
            </w:r>
          </w:p>
          <w:p w:rsidR="00BA5708" w:rsidRPr="00D30328" w:rsidRDefault="00BA5708" w:rsidP="00D30328">
            <w:pPr>
              <w:jc w:val="right"/>
              <w:rPr>
                <w:rFonts w:ascii="Arial" w:hAnsi="Arial" w:cs="Arial"/>
                <w:bCs/>
                <w:sz w:val="40"/>
                <w:szCs w:val="40"/>
              </w:rPr>
            </w:pPr>
            <w:r w:rsidRPr="00D30328">
              <w:rPr>
                <w:rFonts w:ascii="Arial" w:hAnsi="Arial" w:cs="Arial"/>
                <w:b/>
                <w:bCs/>
                <w:sz w:val="40"/>
                <w:szCs w:val="40"/>
              </w:rPr>
              <w:t>SC</w:t>
            </w:r>
          </w:p>
        </w:tc>
      </w:tr>
      <w:tr w:rsidR="0059421C" w:rsidRPr="00CF3CF9" w:rsidTr="00AF447E">
        <w:trPr>
          <w:gridAfter w:val="1"/>
          <w:wAfter w:w="43" w:type="dxa"/>
          <w:cantSplit/>
          <w:trHeight w:val="303"/>
        </w:trPr>
        <w:tc>
          <w:tcPr>
            <w:tcW w:w="6593" w:type="dxa"/>
            <w:gridSpan w:val="4"/>
            <w:tcBorders>
              <w:bottom w:val="single" w:sz="6" w:space="0" w:color="auto"/>
            </w:tcBorders>
          </w:tcPr>
          <w:p w:rsidR="0059421C" w:rsidRPr="00CF3CF9" w:rsidRDefault="0059421C" w:rsidP="0059421C">
            <w:pPr>
              <w:rPr>
                <w:b/>
                <w:lang w:val="en-US"/>
              </w:rPr>
            </w:pPr>
          </w:p>
        </w:tc>
        <w:tc>
          <w:tcPr>
            <w:tcW w:w="3684" w:type="dxa"/>
            <w:gridSpan w:val="3"/>
            <w:tcBorders>
              <w:bottom w:val="single" w:sz="6" w:space="0" w:color="auto"/>
            </w:tcBorders>
          </w:tcPr>
          <w:p w:rsidR="0059421C" w:rsidRDefault="0059421C" w:rsidP="00D66993">
            <w:pPr>
              <w:rPr>
                <w:bCs/>
                <w:sz w:val="20"/>
              </w:rPr>
            </w:pPr>
            <w:r w:rsidRPr="0020016A">
              <w:rPr>
                <w:b/>
                <w:sz w:val="24"/>
                <w:szCs w:val="24"/>
              </w:rPr>
              <w:t>UNEP</w:t>
            </w:r>
            <w:r w:rsidRPr="00D66993">
              <w:rPr>
                <w:bCs/>
                <w:sz w:val="20"/>
              </w:rPr>
              <w:t>/</w:t>
            </w:r>
            <w:r w:rsidR="00D66993" w:rsidRPr="00D66993">
              <w:rPr>
                <w:bCs/>
                <w:sz w:val="20"/>
              </w:rPr>
              <w:t>CHW.12</w:t>
            </w:r>
            <w:r w:rsidRPr="00D66993">
              <w:rPr>
                <w:bCs/>
                <w:sz w:val="20"/>
              </w:rPr>
              <w:t>/</w:t>
            </w:r>
            <w:r w:rsidR="00EC6CB4">
              <w:rPr>
                <w:bCs/>
                <w:sz w:val="20"/>
              </w:rPr>
              <w:t>INF/</w:t>
            </w:r>
            <w:r w:rsidR="002C704B">
              <w:rPr>
                <w:bCs/>
                <w:sz w:val="20"/>
              </w:rPr>
              <w:t>4</w:t>
            </w:r>
            <w:r w:rsidR="00911D8F">
              <w:rPr>
                <w:bCs/>
                <w:sz w:val="20"/>
              </w:rPr>
              <w:t>1</w:t>
            </w:r>
          </w:p>
          <w:p w:rsidR="00D66993" w:rsidRDefault="00D66993" w:rsidP="00D66993">
            <w:pPr>
              <w:rPr>
                <w:bCs/>
                <w:sz w:val="20"/>
              </w:rPr>
            </w:pPr>
            <w:r w:rsidRPr="0020016A">
              <w:rPr>
                <w:b/>
                <w:sz w:val="24"/>
                <w:szCs w:val="24"/>
              </w:rPr>
              <w:t>UNEP/FAO</w:t>
            </w:r>
            <w:r w:rsidRPr="00D66993">
              <w:rPr>
                <w:bCs/>
                <w:sz w:val="20"/>
              </w:rPr>
              <w:t>/</w:t>
            </w:r>
            <w:r>
              <w:rPr>
                <w:bCs/>
                <w:sz w:val="20"/>
              </w:rPr>
              <w:t>RC/COP.7/</w:t>
            </w:r>
            <w:r w:rsidR="00EC6CB4">
              <w:rPr>
                <w:bCs/>
                <w:sz w:val="20"/>
              </w:rPr>
              <w:t>INF/</w:t>
            </w:r>
            <w:r w:rsidR="002C704B">
              <w:rPr>
                <w:bCs/>
                <w:sz w:val="20"/>
              </w:rPr>
              <w:t>2</w:t>
            </w:r>
            <w:r w:rsidR="00911D8F">
              <w:rPr>
                <w:bCs/>
                <w:sz w:val="20"/>
              </w:rPr>
              <w:t>7</w:t>
            </w:r>
          </w:p>
          <w:p w:rsidR="00D66993" w:rsidRPr="00CF3CF9" w:rsidRDefault="00837DFF" w:rsidP="00911D8F">
            <w:r w:rsidRPr="0020016A">
              <w:rPr>
                <w:b/>
                <w:sz w:val="24"/>
                <w:szCs w:val="24"/>
              </w:rPr>
              <w:t>UNEP</w:t>
            </w:r>
            <w:r>
              <w:rPr>
                <w:bCs/>
                <w:sz w:val="20"/>
              </w:rPr>
              <w:t>/POPS/COP.7/</w:t>
            </w:r>
            <w:r w:rsidR="00EC6CB4">
              <w:rPr>
                <w:bCs/>
                <w:sz w:val="20"/>
              </w:rPr>
              <w:t>INF/</w:t>
            </w:r>
            <w:r w:rsidR="003B36F1">
              <w:rPr>
                <w:bCs/>
                <w:sz w:val="20"/>
              </w:rPr>
              <w:t>4</w:t>
            </w:r>
            <w:r w:rsidR="00911D8F">
              <w:rPr>
                <w:bCs/>
                <w:sz w:val="20"/>
              </w:rPr>
              <w:t>7</w:t>
            </w:r>
          </w:p>
        </w:tc>
      </w:tr>
      <w:tr w:rsidR="0059421C" w:rsidRPr="00CF3CF9" w:rsidTr="00BA5708">
        <w:trPr>
          <w:gridAfter w:val="1"/>
          <w:wAfter w:w="43" w:type="dxa"/>
          <w:cantSplit/>
          <w:trHeight w:val="2695"/>
        </w:trPr>
        <w:tc>
          <w:tcPr>
            <w:tcW w:w="1484" w:type="dxa"/>
            <w:tcBorders>
              <w:top w:val="single" w:sz="6" w:space="0" w:color="auto"/>
              <w:bottom w:val="single" w:sz="24" w:space="0" w:color="auto"/>
            </w:tcBorders>
          </w:tcPr>
          <w:p w:rsidR="0059421C" w:rsidRPr="00CF3CF9" w:rsidRDefault="00233CFF" w:rsidP="0059421C">
            <w:pPr>
              <w:spacing w:before="60"/>
            </w:pPr>
            <w:r>
              <w:rPr>
                <w:noProof/>
                <w:lang w:val="en-US" w:eastAsia="zh-TW"/>
              </w:rPr>
              <w:drawing>
                <wp:inline distT="0" distB="0" distL="0" distR="0">
                  <wp:extent cx="800100" cy="381000"/>
                  <wp:effectExtent l="19050" t="0" r="0" b="0"/>
                  <wp:docPr id="3" name="Picture 3" descr="BC 1200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 1200 Down"/>
                          <pic:cNvPicPr>
                            <a:picLocks noChangeAspect="1" noChangeArrowheads="1"/>
                          </pic:cNvPicPr>
                        </pic:nvPicPr>
                        <pic:blipFill>
                          <a:blip r:embed="rId10" cstate="print"/>
                          <a:srcRect/>
                          <a:stretch>
                            <a:fillRect/>
                          </a:stretch>
                        </pic:blipFill>
                        <pic:spPr bwMode="auto">
                          <a:xfrm>
                            <a:off x="0" y="0"/>
                            <a:ext cx="800100" cy="381000"/>
                          </a:xfrm>
                          <a:prstGeom prst="rect">
                            <a:avLst/>
                          </a:prstGeom>
                          <a:noFill/>
                          <a:ln w="9525">
                            <a:noFill/>
                            <a:miter lim="800000"/>
                            <a:headEnd/>
                            <a:tailEnd/>
                          </a:ln>
                        </pic:spPr>
                      </pic:pic>
                    </a:graphicData>
                  </a:graphic>
                </wp:inline>
              </w:drawing>
            </w:r>
          </w:p>
          <w:p w:rsidR="0059421C" w:rsidRPr="00CF3CF9" w:rsidRDefault="0059421C" w:rsidP="0059421C">
            <w:pPr>
              <w:spacing w:before="60"/>
            </w:pPr>
          </w:p>
          <w:p w:rsidR="0059421C" w:rsidRPr="00CF3CF9" w:rsidRDefault="0059421C" w:rsidP="0059421C">
            <w:pPr>
              <w:spacing w:before="60"/>
            </w:pPr>
          </w:p>
          <w:p w:rsidR="0059421C" w:rsidRPr="00CF3CF9" w:rsidRDefault="00233CFF" w:rsidP="0059421C">
            <w:pPr>
              <w:spacing w:before="60"/>
            </w:pPr>
            <w:r>
              <w:rPr>
                <w:rFonts w:ascii="GillSans Light" w:hAnsi="GillSans Light"/>
                <w:noProof/>
                <w:lang w:val="en-US" w:eastAsia="zh-TW"/>
              </w:rPr>
              <w:drawing>
                <wp:inline distT="0" distB="0" distL="0" distR="0">
                  <wp:extent cx="733425" cy="628650"/>
                  <wp:effectExtent l="19050" t="0" r="9525" b="0"/>
                  <wp:docPr id="4" name="Picture 4" descr="mark-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bw"/>
                          <pic:cNvPicPr>
                            <a:picLocks noChangeAspect="1" noChangeArrowheads="1"/>
                          </pic:cNvPicPr>
                        </pic:nvPicPr>
                        <pic:blipFill>
                          <a:blip r:embed="rId11" cstate="print">
                            <a:grayscl/>
                          </a:blip>
                          <a:srcRect b="29143"/>
                          <a:stretch>
                            <a:fillRect/>
                          </a:stretch>
                        </pic:blipFill>
                        <pic:spPr bwMode="auto">
                          <a:xfrm>
                            <a:off x="0" y="0"/>
                            <a:ext cx="733425" cy="628650"/>
                          </a:xfrm>
                          <a:prstGeom prst="rect">
                            <a:avLst/>
                          </a:prstGeom>
                          <a:noFill/>
                          <a:ln w="9525">
                            <a:noFill/>
                            <a:miter lim="800000"/>
                            <a:headEnd/>
                            <a:tailEnd/>
                          </a:ln>
                        </pic:spPr>
                      </pic:pic>
                    </a:graphicData>
                  </a:graphic>
                </wp:inline>
              </w:drawing>
            </w:r>
          </w:p>
          <w:p w:rsidR="0059421C" w:rsidRDefault="0059421C" w:rsidP="0059421C">
            <w:pPr>
              <w:spacing w:before="60"/>
            </w:pPr>
          </w:p>
          <w:p w:rsidR="0059421C" w:rsidRPr="00CF3CF9" w:rsidRDefault="00233CFF" w:rsidP="0059421C">
            <w:pPr>
              <w:spacing w:before="60"/>
            </w:pPr>
            <w:r>
              <w:rPr>
                <w:noProof/>
                <w:lang w:val="en-US" w:eastAsia="zh-TW"/>
              </w:rPr>
              <w:drawing>
                <wp:inline distT="0" distB="0" distL="0" distR="0">
                  <wp:extent cx="685800" cy="542925"/>
                  <wp:effectExtent l="19050" t="0" r="0" b="0"/>
                  <wp:docPr id="5" name="Picture 5" descr="SC BW 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 BW NOTEXT"/>
                          <pic:cNvPicPr>
                            <a:picLocks noChangeAspect="1" noChangeArrowheads="1"/>
                          </pic:cNvPicPr>
                        </pic:nvPicPr>
                        <pic:blipFill>
                          <a:blip r:embed="rId12" cstate="print"/>
                          <a:srcRect/>
                          <a:stretch>
                            <a:fillRect/>
                          </a:stretch>
                        </pic:blipFill>
                        <pic:spPr bwMode="auto">
                          <a:xfrm>
                            <a:off x="0" y="0"/>
                            <a:ext cx="685800" cy="542925"/>
                          </a:xfrm>
                          <a:prstGeom prst="rect">
                            <a:avLst/>
                          </a:prstGeom>
                          <a:noFill/>
                          <a:ln w="9525">
                            <a:noFill/>
                            <a:miter lim="800000"/>
                            <a:headEnd/>
                            <a:tailEnd/>
                          </a:ln>
                        </pic:spPr>
                      </pic:pic>
                    </a:graphicData>
                  </a:graphic>
                </wp:inline>
              </w:drawing>
            </w:r>
          </w:p>
        </w:tc>
        <w:tc>
          <w:tcPr>
            <w:tcW w:w="5109" w:type="dxa"/>
            <w:gridSpan w:val="3"/>
            <w:tcBorders>
              <w:top w:val="single" w:sz="6" w:space="0" w:color="auto"/>
              <w:bottom w:val="single" w:sz="24" w:space="0" w:color="auto"/>
            </w:tcBorders>
          </w:tcPr>
          <w:p w:rsidR="0059421C" w:rsidRPr="00337DFE" w:rsidRDefault="0059421C" w:rsidP="00F314EC">
            <w:pPr>
              <w:rPr>
                <w:b/>
                <w:bCs/>
                <w:sz w:val="27"/>
                <w:szCs w:val="27"/>
                <w:lang w:val="en-US"/>
              </w:rPr>
            </w:pPr>
            <w:r w:rsidRPr="00337DFE">
              <w:rPr>
                <w:b/>
                <w:bCs/>
                <w:sz w:val="27"/>
                <w:szCs w:val="27"/>
                <w:lang w:val="en-US"/>
              </w:rPr>
              <w:t xml:space="preserve">Basel Convention on the Control of Transboundary Movements of Hazardous Wastes and </w:t>
            </w:r>
            <w:r w:rsidR="00F314EC">
              <w:rPr>
                <w:b/>
                <w:bCs/>
                <w:sz w:val="27"/>
                <w:szCs w:val="27"/>
                <w:lang w:val="en-US"/>
              </w:rPr>
              <w:t>T</w:t>
            </w:r>
            <w:r w:rsidRPr="00337DFE">
              <w:rPr>
                <w:b/>
                <w:bCs/>
                <w:sz w:val="27"/>
                <w:szCs w:val="27"/>
                <w:lang w:val="en-US"/>
              </w:rPr>
              <w:t>heir Disposal</w:t>
            </w:r>
          </w:p>
          <w:p w:rsidR="0059421C" w:rsidRPr="00337DFE" w:rsidRDefault="0059421C" w:rsidP="0059421C">
            <w:pPr>
              <w:rPr>
                <w:b/>
                <w:bCs/>
                <w:sz w:val="27"/>
                <w:szCs w:val="27"/>
                <w:lang w:val="en-US"/>
              </w:rPr>
            </w:pPr>
          </w:p>
          <w:p w:rsidR="0059421C" w:rsidRPr="00337DFE" w:rsidRDefault="0059421C" w:rsidP="0059421C">
            <w:pPr>
              <w:rPr>
                <w:b/>
                <w:bCs/>
                <w:sz w:val="27"/>
                <w:szCs w:val="27"/>
                <w:lang w:val="en-US"/>
              </w:rPr>
            </w:pPr>
            <w:smartTag w:uri="urn:schemas-microsoft-com:office:smarttags" w:element="place">
              <w:smartTag w:uri="urn:schemas-microsoft-com:office:smarttags" w:element="City">
                <w:r w:rsidRPr="00337DFE">
                  <w:rPr>
                    <w:b/>
                    <w:bCs/>
                    <w:sz w:val="27"/>
                    <w:szCs w:val="27"/>
                    <w:lang w:val="en-US"/>
                  </w:rPr>
                  <w:t>Rotterdam</w:t>
                </w:r>
              </w:smartTag>
            </w:smartTag>
            <w:r w:rsidRPr="00337DFE">
              <w:rPr>
                <w:b/>
                <w:bCs/>
                <w:sz w:val="27"/>
                <w:szCs w:val="27"/>
                <w:lang w:val="en-US"/>
              </w:rPr>
              <w:t xml:space="preserve"> Convention on </w:t>
            </w:r>
            <w:r w:rsidRPr="00337DFE">
              <w:rPr>
                <w:b/>
                <w:bCs/>
                <w:sz w:val="27"/>
                <w:szCs w:val="27"/>
              </w:rPr>
              <w:t>the Prior Informed Consent Procedure for Certain Hazardous Chemicals and Pesticides in International Trade</w:t>
            </w:r>
          </w:p>
          <w:p w:rsidR="0059421C" w:rsidRPr="00337DFE" w:rsidRDefault="0059421C" w:rsidP="0059421C">
            <w:pPr>
              <w:rPr>
                <w:b/>
                <w:bCs/>
                <w:sz w:val="27"/>
                <w:szCs w:val="27"/>
                <w:lang w:val="en-US"/>
              </w:rPr>
            </w:pPr>
          </w:p>
          <w:p w:rsidR="0059421C" w:rsidRPr="00CF3CF9" w:rsidRDefault="0059421C" w:rsidP="0059421C">
            <w:pPr>
              <w:rPr>
                <w:sz w:val="32"/>
                <w:szCs w:val="32"/>
              </w:rPr>
            </w:pPr>
            <w:smartTag w:uri="urn:schemas-microsoft-com:office:smarttags" w:element="place">
              <w:smartTag w:uri="urn:schemas-microsoft-com:office:smarttags" w:element="City">
                <w:r w:rsidRPr="00337DFE">
                  <w:rPr>
                    <w:b/>
                    <w:bCs/>
                    <w:sz w:val="27"/>
                    <w:szCs w:val="27"/>
                  </w:rPr>
                  <w:t>Stockholm</w:t>
                </w:r>
              </w:smartTag>
            </w:smartTag>
            <w:r w:rsidRPr="00337DFE">
              <w:rPr>
                <w:b/>
                <w:bCs/>
                <w:sz w:val="27"/>
                <w:szCs w:val="27"/>
              </w:rPr>
              <w:t xml:space="preserve"> Convention on Persistent Organic Pollutants</w:t>
            </w:r>
          </w:p>
        </w:tc>
        <w:tc>
          <w:tcPr>
            <w:tcW w:w="3684" w:type="dxa"/>
            <w:gridSpan w:val="3"/>
            <w:tcBorders>
              <w:top w:val="single" w:sz="6" w:space="0" w:color="auto"/>
              <w:bottom w:val="single" w:sz="24" w:space="0" w:color="auto"/>
            </w:tcBorders>
          </w:tcPr>
          <w:p w:rsidR="0059421C" w:rsidRPr="00CF3CF9" w:rsidRDefault="0059421C" w:rsidP="0059421C"/>
          <w:p w:rsidR="0059421C" w:rsidRPr="00CF3CF9" w:rsidRDefault="0059421C" w:rsidP="0059421C">
            <w:pPr>
              <w:rPr>
                <w:sz w:val="20"/>
              </w:rPr>
            </w:pPr>
            <w:r w:rsidRPr="00CF3CF9">
              <w:rPr>
                <w:sz w:val="20"/>
              </w:rPr>
              <w:t>Distr.: General</w:t>
            </w:r>
          </w:p>
          <w:p w:rsidR="0059421C" w:rsidRPr="000607A6" w:rsidRDefault="00FD0F27" w:rsidP="000607A6">
            <w:pPr>
              <w:rPr>
                <w:iCs/>
                <w:sz w:val="20"/>
              </w:rPr>
            </w:pPr>
            <w:r w:rsidRPr="000607A6">
              <w:rPr>
                <w:iCs/>
                <w:sz w:val="20"/>
              </w:rPr>
              <w:t>20</w:t>
            </w:r>
            <w:r w:rsidR="00EA3E23" w:rsidRPr="000607A6">
              <w:rPr>
                <w:iCs/>
                <w:sz w:val="20"/>
              </w:rPr>
              <w:t xml:space="preserve"> April</w:t>
            </w:r>
            <w:r w:rsidR="00EC22C8" w:rsidRPr="000607A6">
              <w:rPr>
                <w:iCs/>
                <w:sz w:val="20"/>
              </w:rPr>
              <w:t xml:space="preserve"> 201</w:t>
            </w:r>
            <w:r w:rsidR="006C08BD" w:rsidRPr="000607A6">
              <w:rPr>
                <w:iCs/>
                <w:sz w:val="20"/>
              </w:rPr>
              <w:t>5</w:t>
            </w:r>
          </w:p>
          <w:p w:rsidR="0059421C" w:rsidRPr="00356FEB" w:rsidRDefault="0059421C" w:rsidP="0059421C">
            <w:pPr>
              <w:rPr>
                <w:sz w:val="20"/>
              </w:rPr>
            </w:pPr>
          </w:p>
          <w:p w:rsidR="0059421C" w:rsidRPr="00CF3CF9" w:rsidRDefault="0059421C" w:rsidP="0059421C">
            <w:r w:rsidRPr="00356FEB">
              <w:rPr>
                <w:sz w:val="20"/>
              </w:rPr>
              <w:t>English</w:t>
            </w:r>
            <w:r w:rsidR="00EC6CB4">
              <w:rPr>
                <w:sz w:val="20"/>
              </w:rPr>
              <w:t xml:space="preserve"> only</w:t>
            </w:r>
          </w:p>
        </w:tc>
      </w:tr>
      <w:tr w:rsidR="0085506D" w:rsidTr="00FB5BFD">
        <w:tblPrEx>
          <w:tblLook w:val="04A0"/>
        </w:tblPrEx>
        <w:tc>
          <w:tcPr>
            <w:tcW w:w="3440" w:type="dxa"/>
            <w:gridSpan w:val="2"/>
          </w:tcPr>
          <w:p w:rsidR="0085506D" w:rsidRDefault="0085506D" w:rsidP="002E2972">
            <w:pPr>
              <w:pStyle w:val="AATitle"/>
              <w:keepNext w:val="0"/>
              <w:keepLines w:val="0"/>
              <w:tabs>
                <w:tab w:val="clear" w:pos="1247"/>
                <w:tab w:val="clear" w:pos="1814"/>
                <w:tab w:val="clear" w:pos="2381"/>
                <w:tab w:val="clear" w:pos="2948"/>
                <w:tab w:val="clear" w:pos="3515"/>
              </w:tabs>
              <w:spacing w:before="60"/>
              <w:ind w:right="80"/>
            </w:pPr>
            <w:r w:rsidRPr="00C93ABA">
              <w:t>Conference of the Parties to the Basel Convention</w:t>
            </w:r>
            <w:r>
              <w:t xml:space="preserve"> </w:t>
            </w:r>
            <w:r w:rsidRPr="00452516">
              <w:t xml:space="preserve">on the Control </w:t>
            </w:r>
          </w:p>
          <w:p w:rsidR="0085506D" w:rsidRDefault="0085506D" w:rsidP="002E2972">
            <w:pPr>
              <w:pStyle w:val="AATitle"/>
              <w:keepNext w:val="0"/>
              <w:keepLines w:val="0"/>
              <w:tabs>
                <w:tab w:val="clear" w:pos="1247"/>
                <w:tab w:val="clear" w:pos="1814"/>
                <w:tab w:val="clear" w:pos="2381"/>
                <w:tab w:val="clear" w:pos="2948"/>
                <w:tab w:val="clear" w:pos="3515"/>
              </w:tabs>
              <w:ind w:right="80"/>
            </w:pPr>
            <w:r w:rsidRPr="00452516">
              <w:t xml:space="preserve">of Transboundary Movements </w:t>
            </w:r>
          </w:p>
          <w:p w:rsidR="0085506D" w:rsidRDefault="0085506D" w:rsidP="002E2972">
            <w:pPr>
              <w:pStyle w:val="AATitle"/>
              <w:keepNext w:val="0"/>
              <w:keepLines w:val="0"/>
              <w:tabs>
                <w:tab w:val="clear" w:pos="1247"/>
                <w:tab w:val="clear" w:pos="1814"/>
                <w:tab w:val="clear" w:pos="2381"/>
                <w:tab w:val="clear" w:pos="2948"/>
                <w:tab w:val="clear" w:pos="3515"/>
              </w:tabs>
              <w:ind w:right="80"/>
            </w:pPr>
            <w:r w:rsidRPr="00452516">
              <w:t>of</w:t>
            </w:r>
            <w:r>
              <w:t xml:space="preserve"> H</w:t>
            </w:r>
            <w:r w:rsidRPr="00452516">
              <w:t xml:space="preserve">azardous Wastes and </w:t>
            </w:r>
          </w:p>
          <w:p w:rsidR="0085506D" w:rsidRPr="00452516" w:rsidRDefault="0085506D" w:rsidP="002E2972">
            <w:pPr>
              <w:pStyle w:val="AATitle"/>
              <w:keepNext w:val="0"/>
              <w:keepLines w:val="0"/>
              <w:tabs>
                <w:tab w:val="clear" w:pos="1247"/>
                <w:tab w:val="clear" w:pos="1814"/>
                <w:tab w:val="clear" w:pos="2381"/>
                <w:tab w:val="clear" w:pos="2948"/>
                <w:tab w:val="clear" w:pos="3515"/>
              </w:tabs>
              <w:ind w:right="80"/>
            </w:pPr>
            <w:r w:rsidRPr="00452516">
              <w:t>Their Disposal</w:t>
            </w:r>
            <w:r w:rsidRPr="00452516">
              <w:br/>
            </w:r>
            <w:r>
              <w:t>Twelfth</w:t>
            </w:r>
            <w:r w:rsidRPr="00452516">
              <w:t xml:space="preserve"> meeting</w:t>
            </w:r>
          </w:p>
          <w:p w:rsidR="0085506D" w:rsidRPr="002E2972" w:rsidRDefault="0085506D" w:rsidP="002E2972">
            <w:pPr>
              <w:pStyle w:val="AATitle"/>
              <w:keepNext w:val="0"/>
              <w:keepLines w:val="0"/>
              <w:tabs>
                <w:tab w:val="left" w:pos="4082"/>
              </w:tabs>
              <w:ind w:right="80"/>
              <w:rPr>
                <w:b w:val="0"/>
              </w:rPr>
            </w:pPr>
            <w:r w:rsidRPr="002E2972">
              <w:rPr>
                <w:b w:val="0"/>
              </w:rPr>
              <w:t>Geneva, 4–15 May 2015</w:t>
            </w:r>
          </w:p>
          <w:p w:rsidR="0085506D" w:rsidRPr="002E2972" w:rsidRDefault="0085506D" w:rsidP="002E2972">
            <w:pPr>
              <w:ind w:right="80"/>
              <w:rPr>
                <w:sz w:val="20"/>
              </w:rPr>
            </w:pPr>
            <w:r w:rsidRPr="002E2972">
              <w:rPr>
                <w:sz w:val="20"/>
              </w:rPr>
              <w:t xml:space="preserve">Item </w:t>
            </w:r>
            <w:r w:rsidR="00820A88">
              <w:rPr>
                <w:sz w:val="20"/>
              </w:rPr>
              <w:t>5</w:t>
            </w:r>
            <w:r w:rsidRPr="002E2972">
              <w:rPr>
                <w:sz w:val="20"/>
              </w:rPr>
              <w:t xml:space="preserve"> of the provisional agenda</w:t>
            </w:r>
            <w:r w:rsidRPr="002E2972">
              <w:rPr>
                <w:rStyle w:val="FootnoteReference"/>
                <w:sz w:val="20"/>
              </w:rPr>
              <w:footnoteReference w:customMarkFollows="1" w:id="1"/>
              <w:sym w:font="Symbol" w:char="F02A"/>
            </w:r>
          </w:p>
          <w:p w:rsidR="0085506D" w:rsidRPr="00820A88" w:rsidRDefault="00820A88" w:rsidP="002E2972">
            <w:pPr>
              <w:spacing w:before="60"/>
              <w:ind w:right="80"/>
              <w:rPr>
                <w:b/>
                <w:bCs/>
                <w:sz w:val="20"/>
              </w:rPr>
            </w:pPr>
            <w:r w:rsidRPr="00820A88">
              <w:rPr>
                <w:b/>
                <w:bCs/>
                <w:sz w:val="20"/>
              </w:rPr>
              <w:t>Programme of work and budget</w:t>
            </w:r>
          </w:p>
          <w:p w:rsidR="0085506D" w:rsidRDefault="0085506D" w:rsidP="002E2972">
            <w:pPr>
              <w:pStyle w:val="AATitle"/>
              <w:keepNext w:val="0"/>
              <w:keepLines w:val="0"/>
              <w:tabs>
                <w:tab w:val="left" w:pos="4082"/>
              </w:tabs>
              <w:ind w:right="5103"/>
            </w:pPr>
          </w:p>
        </w:tc>
        <w:tc>
          <w:tcPr>
            <w:tcW w:w="3440" w:type="dxa"/>
            <w:gridSpan w:val="3"/>
          </w:tcPr>
          <w:p w:rsidR="0085506D" w:rsidRPr="000D4177" w:rsidRDefault="0085506D" w:rsidP="002E2972">
            <w:pPr>
              <w:pStyle w:val="AATitle"/>
              <w:keepNext w:val="0"/>
              <w:keepLines w:val="0"/>
              <w:tabs>
                <w:tab w:val="clear" w:pos="1247"/>
                <w:tab w:val="clear" w:pos="2381"/>
                <w:tab w:val="left" w:pos="4014"/>
              </w:tabs>
              <w:spacing w:before="60"/>
              <w:ind w:right="176"/>
            </w:pPr>
            <w:r w:rsidRPr="000D4177">
              <w:t xml:space="preserve">Conference of the Parties </w:t>
            </w:r>
            <w:r>
              <w:t>to the</w:t>
            </w:r>
            <w:r>
              <w:br/>
            </w:r>
            <w:r w:rsidRPr="000D4177">
              <w:t>Rotterdam Convention on the Prior</w:t>
            </w:r>
            <w:r w:rsidR="00DA236C">
              <w:t xml:space="preserve"> </w:t>
            </w:r>
            <w:r w:rsidRPr="000D4177">
              <w:t>Informed Consent Procedure for Certain</w:t>
            </w:r>
            <w:r>
              <w:t xml:space="preserve"> </w:t>
            </w:r>
            <w:r w:rsidRPr="000D4177">
              <w:t>Hazardous Chemicals and Pesticides in</w:t>
            </w:r>
            <w:r>
              <w:t xml:space="preserve"> I</w:t>
            </w:r>
            <w:r w:rsidRPr="000D4177">
              <w:t>nternational Trade</w:t>
            </w:r>
          </w:p>
          <w:p w:rsidR="0085506D" w:rsidRDefault="0085506D" w:rsidP="002E2972">
            <w:pPr>
              <w:pStyle w:val="AATitle"/>
              <w:keepNext w:val="0"/>
              <w:keepLines w:val="0"/>
              <w:tabs>
                <w:tab w:val="clear" w:pos="1247"/>
                <w:tab w:val="clear" w:pos="2381"/>
                <w:tab w:val="left" w:pos="4014"/>
              </w:tabs>
              <w:ind w:right="176"/>
            </w:pPr>
            <w:r>
              <w:t>Seventh</w:t>
            </w:r>
            <w:r w:rsidRPr="000D4177">
              <w:t xml:space="preserve"> meeting</w:t>
            </w:r>
          </w:p>
          <w:p w:rsidR="0085506D" w:rsidRPr="002E2972" w:rsidRDefault="0085506D" w:rsidP="002E2972">
            <w:pPr>
              <w:pStyle w:val="AATitle"/>
              <w:keepNext w:val="0"/>
              <w:keepLines w:val="0"/>
              <w:tabs>
                <w:tab w:val="clear" w:pos="1247"/>
                <w:tab w:val="clear" w:pos="2381"/>
                <w:tab w:val="left" w:pos="4014"/>
                <w:tab w:val="left" w:pos="4082"/>
              </w:tabs>
              <w:ind w:right="176"/>
              <w:rPr>
                <w:b w:val="0"/>
              </w:rPr>
            </w:pPr>
            <w:r w:rsidRPr="002E2972">
              <w:rPr>
                <w:b w:val="0"/>
              </w:rPr>
              <w:t>Geneva, 4–15 May 2015</w:t>
            </w:r>
          </w:p>
          <w:p w:rsidR="0085506D" w:rsidRPr="002E2972" w:rsidRDefault="0085506D" w:rsidP="002E2972">
            <w:pPr>
              <w:tabs>
                <w:tab w:val="left" w:pos="4014"/>
              </w:tabs>
              <w:ind w:right="176"/>
              <w:rPr>
                <w:sz w:val="20"/>
              </w:rPr>
            </w:pPr>
            <w:r w:rsidRPr="002E2972">
              <w:rPr>
                <w:sz w:val="20"/>
              </w:rPr>
              <w:t xml:space="preserve">Item </w:t>
            </w:r>
            <w:r w:rsidR="00820A88">
              <w:rPr>
                <w:sz w:val="20"/>
              </w:rPr>
              <w:t>6</w:t>
            </w:r>
            <w:r w:rsidRPr="002E2972">
              <w:rPr>
                <w:sz w:val="20"/>
              </w:rPr>
              <w:t xml:space="preserve"> of the provisional agenda</w:t>
            </w:r>
            <w:r w:rsidRPr="002E2972">
              <w:rPr>
                <w:rStyle w:val="FootnoteReference"/>
                <w:sz w:val="20"/>
              </w:rPr>
              <w:footnoteReference w:customMarkFollows="1" w:id="2"/>
              <w:sym w:font="Symbol" w:char="F02A"/>
            </w:r>
            <w:r w:rsidRPr="002E2972">
              <w:rPr>
                <w:rStyle w:val="FootnoteReference"/>
                <w:sz w:val="20"/>
              </w:rPr>
              <w:sym w:font="Symbol" w:char="F02A"/>
            </w:r>
          </w:p>
          <w:p w:rsidR="0085506D" w:rsidRDefault="00820A88" w:rsidP="009C50CD">
            <w:pPr>
              <w:spacing w:before="60"/>
              <w:ind w:right="80"/>
            </w:pPr>
            <w:r w:rsidRPr="00820A88">
              <w:rPr>
                <w:b/>
                <w:bCs/>
                <w:sz w:val="20"/>
              </w:rPr>
              <w:t>Programme of work and budget</w:t>
            </w:r>
          </w:p>
        </w:tc>
        <w:tc>
          <w:tcPr>
            <w:tcW w:w="3440" w:type="dxa"/>
            <w:gridSpan w:val="3"/>
          </w:tcPr>
          <w:p w:rsidR="0085506D" w:rsidRPr="00D705C8" w:rsidRDefault="0085506D" w:rsidP="002E2972">
            <w:pPr>
              <w:pStyle w:val="AATitle"/>
              <w:keepNext w:val="0"/>
              <w:keepLines w:val="0"/>
              <w:spacing w:before="60"/>
              <w:ind w:right="176"/>
            </w:pPr>
            <w:r w:rsidRPr="00D705C8">
              <w:t>Conference of the Parties to the Stockholm Convention on Persistent Organic Pollutants</w:t>
            </w:r>
          </w:p>
          <w:p w:rsidR="0085506D" w:rsidRDefault="0085506D" w:rsidP="002E2972">
            <w:pPr>
              <w:pStyle w:val="AATitle"/>
              <w:keepNext w:val="0"/>
              <w:keepLines w:val="0"/>
              <w:ind w:right="176"/>
            </w:pPr>
            <w:r w:rsidRPr="00D705C8">
              <w:t>S</w:t>
            </w:r>
            <w:r>
              <w:t>eventh</w:t>
            </w:r>
            <w:r w:rsidRPr="00D705C8">
              <w:t xml:space="preserve"> meeting</w:t>
            </w:r>
          </w:p>
          <w:p w:rsidR="0085506D" w:rsidRPr="002E2972" w:rsidRDefault="0085506D" w:rsidP="002E2972">
            <w:pPr>
              <w:pStyle w:val="AATitle"/>
              <w:keepNext w:val="0"/>
              <w:keepLines w:val="0"/>
              <w:tabs>
                <w:tab w:val="left" w:pos="4082"/>
              </w:tabs>
              <w:ind w:right="176"/>
              <w:rPr>
                <w:b w:val="0"/>
              </w:rPr>
            </w:pPr>
            <w:r w:rsidRPr="002E2972">
              <w:rPr>
                <w:b w:val="0"/>
              </w:rPr>
              <w:t>Geneva, 4–15 May 2015</w:t>
            </w:r>
          </w:p>
          <w:p w:rsidR="0085506D" w:rsidRPr="002E2972" w:rsidRDefault="0085506D" w:rsidP="002E2972">
            <w:pPr>
              <w:pStyle w:val="AATitle"/>
              <w:keepNext w:val="0"/>
              <w:keepLines w:val="0"/>
              <w:tabs>
                <w:tab w:val="left" w:pos="4082"/>
              </w:tabs>
              <w:ind w:right="176"/>
              <w:rPr>
                <w:b w:val="0"/>
              </w:rPr>
            </w:pPr>
            <w:r w:rsidRPr="002E2972">
              <w:rPr>
                <w:b w:val="0"/>
              </w:rPr>
              <w:t xml:space="preserve">Item </w:t>
            </w:r>
            <w:r w:rsidR="00820A88">
              <w:rPr>
                <w:b w:val="0"/>
              </w:rPr>
              <w:t xml:space="preserve">6 </w:t>
            </w:r>
            <w:r w:rsidRPr="002E2972">
              <w:rPr>
                <w:b w:val="0"/>
              </w:rPr>
              <w:t>of the provisional agenda</w:t>
            </w:r>
            <w:r w:rsidRPr="002E2972">
              <w:rPr>
                <w:rStyle w:val="FootnoteReference"/>
                <w:b w:val="0"/>
              </w:rPr>
              <w:footnoteReference w:customMarkFollows="1" w:id="3"/>
              <w:sym w:font="Symbol" w:char="F02A"/>
            </w:r>
            <w:r w:rsidRPr="002E2972">
              <w:rPr>
                <w:rStyle w:val="FootnoteReference"/>
                <w:b w:val="0"/>
              </w:rPr>
              <w:sym w:font="Symbol" w:char="F02A"/>
            </w:r>
            <w:r w:rsidRPr="002E2972">
              <w:rPr>
                <w:rStyle w:val="FootnoteReference"/>
                <w:b w:val="0"/>
              </w:rPr>
              <w:sym w:font="Symbol" w:char="F02A"/>
            </w:r>
          </w:p>
          <w:p w:rsidR="00820A88" w:rsidRPr="00820A88" w:rsidRDefault="00820A88" w:rsidP="00820A88">
            <w:pPr>
              <w:spacing w:before="60"/>
              <w:ind w:right="80"/>
              <w:rPr>
                <w:b/>
                <w:bCs/>
                <w:sz w:val="20"/>
              </w:rPr>
            </w:pPr>
            <w:r w:rsidRPr="00820A88">
              <w:rPr>
                <w:b/>
                <w:bCs/>
                <w:sz w:val="20"/>
              </w:rPr>
              <w:t>Programme of work and budget</w:t>
            </w:r>
          </w:p>
          <w:p w:rsidR="0085506D" w:rsidRDefault="0085506D" w:rsidP="002E2972">
            <w:pPr>
              <w:pStyle w:val="AATitle"/>
              <w:keepNext w:val="0"/>
              <w:keepLines w:val="0"/>
              <w:tabs>
                <w:tab w:val="left" w:pos="4082"/>
              </w:tabs>
              <w:ind w:right="5103"/>
            </w:pPr>
          </w:p>
        </w:tc>
      </w:tr>
    </w:tbl>
    <w:p w:rsidR="00820A88" w:rsidRPr="00820A88" w:rsidRDefault="00911D8F" w:rsidP="00EC6CB4">
      <w:pPr>
        <w:pStyle w:val="Subtitle"/>
        <w:keepNext w:val="0"/>
        <w:spacing w:before="240" w:after="120"/>
        <w:rPr>
          <w:sz w:val="28"/>
          <w:szCs w:val="28"/>
        </w:rPr>
      </w:pPr>
      <w:r>
        <w:rPr>
          <w:sz w:val="28"/>
          <w:szCs w:val="28"/>
          <w:lang w:val="en-US"/>
        </w:rPr>
        <w:t>Options for incentives and measures related to arrears in core budget contributions</w:t>
      </w:r>
      <w:r w:rsidR="00F519E7">
        <w:rPr>
          <w:sz w:val="28"/>
          <w:szCs w:val="28"/>
          <w:lang w:val="en-US"/>
        </w:rPr>
        <w:t xml:space="preserve"> </w:t>
      </w:r>
    </w:p>
    <w:p w:rsidR="00B66555" w:rsidRPr="00356FEB" w:rsidRDefault="00EB2312" w:rsidP="00EC6CB4">
      <w:pPr>
        <w:pStyle w:val="Subtitle"/>
        <w:keepNext w:val="0"/>
        <w:spacing w:before="240" w:after="120"/>
        <w:rPr>
          <w:sz w:val="20"/>
        </w:rPr>
      </w:pPr>
      <w:r w:rsidRPr="009B09F5">
        <w:t xml:space="preserve">Note by the </w:t>
      </w:r>
      <w:r w:rsidR="00BD119E">
        <w:t>S</w:t>
      </w:r>
      <w:r w:rsidRPr="009B09F5">
        <w:t>ecretariat</w:t>
      </w:r>
    </w:p>
    <w:p w:rsidR="00AD7BF6" w:rsidRPr="005609D8" w:rsidRDefault="00A409C1" w:rsidP="001B611C">
      <w:pPr>
        <w:numPr>
          <w:ilvl w:val="0"/>
          <w:numId w:val="4"/>
        </w:numPr>
        <w:tabs>
          <w:tab w:val="num" w:pos="567"/>
          <w:tab w:val="left" w:pos="624"/>
          <w:tab w:val="left" w:pos="1871"/>
          <w:tab w:val="left" w:pos="2495"/>
          <w:tab w:val="left" w:pos="3119"/>
          <w:tab w:val="left" w:pos="3742"/>
        </w:tabs>
        <w:spacing w:after="120"/>
        <w:ind w:left="1247" w:firstLine="0"/>
        <w:rPr>
          <w:sz w:val="20"/>
        </w:rPr>
      </w:pPr>
      <w:r w:rsidRPr="00A409C1">
        <w:rPr>
          <w:sz w:val="20"/>
        </w:rPr>
        <w:t xml:space="preserve">Expressing </w:t>
      </w:r>
      <w:r w:rsidR="00AD7BF6" w:rsidRPr="005609D8">
        <w:rPr>
          <w:sz w:val="20"/>
        </w:rPr>
        <w:t>concern at the continuing trend towards late payment of contributions</w:t>
      </w:r>
      <w:r w:rsidR="005609D8" w:rsidRPr="005609D8">
        <w:rPr>
          <w:sz w:val="20"/>
        </w:rPr>
        <w:t xml:space="preserve"> to the operational budgets</w:t>
      </w:r>
      <w:r w:rsidR="00AD7BF6" w:rsidRPr="005609D8">
        <w:rPr>
          <w:sz w:val="20"/>
        </w:rPr>
        <w:t>, the conferences of the parties to the Basel, Rotterdam and Stockholm conventions requested, as per decisions BC-11/26, RC-6/16 and SC-6/30 on financing and budgets for the biennium 2014</w:t>
      </w:r>
      <w:r w:rsidR="001B611C">
        <w:rPr>
          <w:sz w:val="20"/>
        </w:rPr>
        <w:sym w:font="Symbol" w:char="F02D"/>
      </w:r>
      <w:r w:rsidR="00AD7BF6" w:rsidRPr="005609D8">
        <w:rPr>
          <w:sz w:val="20"/>
        </w:rPr>
        <w:t xml:space="preserve">2015, the Secretariat to present options for </w:t>
      </w:r>
      <w:r w:rsidRPr="00A409C1">
        <w:rPr>
          <w:sz w:val="20"/>
        </w:rPr>
        <w:t>incentives and measures, including information on those applied under other multilateral environmental agreements to deal with such challenges</w:t>
      </w:r>
      <w:r w:rsidR="005609D8" w:rsidRPr="005609D8">
        <w:rPr>
          <w:sz w:val="20"/>
        </w:rPr>
        <w:t>.</w:t>
      </w:r>
    </w:p>
    <w:p w:rsidR="00AD7BF6" w:rsidRDefault="00AD7BF6" w:rsidP="00AD7BF6">
      <w:pPr>
        <w:numPr>
          <w:ilvl w:val="0"/>
          <w:numId w:val="4"/>
        </w:numPr>
        <w:tabs>
          <w:tab w:val="num" w:pos="567"/>
          <w:tab w:val="left" w:pos="624"/>
          <w:tab w:val="left" w:pos="1871"/>
          <w:tab w:val="left" w:pos="2495"/>
          <w:tab w:val="left" w:pos="3119"/>
          <w:tab w:val="left" w:pos="3742"/>
        </w:tabs>
        <w:spacing w:after="120"/>
        <w:ind w:left="1247" w:firstLine="0"/>
        <w:rPr>
          <w:sz w:val="20"/>
        </w:rPr>
      </w:pPr>
      <w:r w:rsidRPr="00AD7BF6">
        <w:rPr>
          <w:sz w:val="20"/>
        </w:rPr>
        <w:t xml:space="preserve">In response to this request, </w:t>
      </w:r>
      <w:r w:rsidR="00997C43">
        <w:rPr>
          <w:sz w:val="20"/>
        </w:rPr>
        <w:t>and as referred to in the note by the Secretariat on the p</w:t>
      </w:r>
      <w:r w:rsidR="00A409C1" w:rsidRPr="00A409C1">
        <w:rPr>
          <w:sz w:val="20"/>
        </w:rPr>
        <w:t>rogrammes of work and proposed budgets for the biennium 2016–2017: combined proposal including joint activities</w:t>
      </w:r>
      <w:r w:rsidR="00997C43">
        <w:rPr>
          <w:sz w:val="20"/>
        </w:rPr>
        <w:t xml:space="preserve"> (</w:t>
      </w:r>
      <w:r w:rsidR="00997C43" w:rsidRPr="00997C43">
        <w:rPr>
          <w:sz w:val="20"/>
        </w:rPr>
        <w:t>UNEP/CHW.12/22-UNEP/FAO/RC/COP.7/16-UNEP/POPS/COP.7/32</w:t>
      </w:r>
      <w:r w:rsidR="00997C43">
        <w:rPr>
          <w:sz w:val="20"/>
        </w:rPr>
        <w:t xml:space="preserve">), </w:t>
      </w:r>
      <w:r w:rsidRPr="00AD7BF6">
        <w:rPr>
          <w:sz w:val="20"/>
        </w:rPr>
        <w:t>the Secretariat has compiled information on</w:t>
      </w:r>
      <w:r w:rsidR="009973EA">
        <w:rPr>
          <w:sz w:val="20"/>
        </w:rPr>
        <w:t xml:space="preserve"> the below areas:</w:t>
      </w:r>
    </w:p>
    <w:p w:rsidR="00467DFC" w:rsidRDefault="00AD7BF6">
      <w:pPr>
        <w:numPr>
          <w:ilvl w:val="0"/>
          <w:numId w:val="11"/>
        </w:numPr>
        <w:tabs>
          <w:tab w:val="left" w:pos="624"/>
          <w:tab w:val="left" w:pos="1871"/>
          <w:tab w:val="left" w:pos="2495"/>
          <w:tab w:val="left" w:pos="3119"/>
          <w:tab w:val="left" w:pos="3742"/>
        </w:tabs>
        <w:spacing w:after="120"/>
        <w:ind w:left="1276" w:firstLine="595"/>
        <w:rPr>
          <w:sz w:val="20"/>
        </w:rPr>
      </w:pPr>
      <w:r>
        <w:rPr>
          <w:sz w:val="20"/>
        </w:rPr>
        <w:t>The practi</w:t>
      </w:r>
      <w:r w:rsidR="00946CDE">
        <w:rPr>
          <w:sz w:val="20"/>
        </w:rPr>
        <w:t>c</w:t>
      </w:r>
      <w:r>
        <w:rPr>
          <w:sz w:val="20"/>
        </w:rPr>
        <w:t xml:space="preserve">e </w:t>
      </w:r>
      <w:r w:rsidR="00946CDE">
        <w:rPr>
          <w:sz w:val="20"/>
        </w:rPr>
        <w:t xml:space="preserve">under </w:t>
      </w:r>
      <w:r>
        <w:rPr>
          <w:sz w:val="20"/>
        </w:rPr>
        <w:t xml:space="preserve">other multilateral environmental </w:t>
      </w:r>
      <w:r w:rsidR="004B61C7">
        <w:rPr>
          <w:sz w:val="20"/>
        </w:rPr>
        <w:t xml:space="preserve">agreements </w:t>
      </w:r>
      <w:r w:rsidR="00D30E49">
        <w:rPr>
          <w:sz w:val="20"/>
        </w:rPr>
        <w:t>and within the United Nations system</w:t>
      </w:r>
      <w:r>
        <w:rPr>
          <w:sz w:val="20"/>
        </w:rPr>
        <w:t>;</w:t>
      </w:r>
    </w:p>
    <w:p w:rsidR="00467DFC" w:rsidRDefault="00AD7BF6">
      <w:pPr>
        <w:numPr>
          <w:ilvl w:val="0"/>
          <w:numId w:val="11"/>
        </w:numPr>
        <w:tabs>
          <w:tab w:val="left" w:pos="624"/>
          <w:tab w:val="left" w:pos="1871"/>
          <w:tab w:val="left" w:pos="2495"/>
          <w:tab w:val="left" w:pos="3119"/>
          <w:tab w:val="left" w:pos="3742"/>
        </w:tabs>
        <w:spacing w:after="120"/>
        <w:ind w:left="1276" w:firstLine="595"/>
        <w:rPr>
          <w:sz w:val="20"/>
        </w:rPr>
      </w:pPr>
      <w:r w:rsidRPr="00AD7BF6">
        <w:rPr>
          <w:sz w:val="20"/>
        </w:rPr>
        <w:t xml:space="preserve">The measures taken so far by </w:t>
      </w:r>
      <w:r w:rsidR="009E14D3">
        <w:rPr>
          <w:sz w:val="20"/>
        </w:rPr>
        <w:t xml:space="preserve">the Secretariat </w:t>
      </w:r>
      <w:r w:rsidRPr="00AD7BF6">
        <w:rPr>
          <w:sz w:val="20"/>
        </w:rPr>
        <w:t xml:space="preserve">to encourage </w:t>
      </w:r>
      <w:r w:rsidR="00F60938">
        <w:rPr>
          <w:sz w:val="20"/>
        </w:rPr>
        <w:t>p</w:t>
      </w:r>
      <w:r w:rsidRPr="00AD7BF6">
        <w:rPr>
          <w:sz w:val="20"/>
        </w:rPr>
        <w:t xml:space="preserve">arties to make their contributions </w:t>
      </w:r>
      <w:r w:rsidR="005609D8">
        <w:rPr>
          <w:sz w:val="20"/>
        </w:rPr>
        <w:t xml:space="preserve">to the operational budgets </w:t>
      </w:r>
      <w:r w:rsidRPr="00AD7BF6">
        <w:rPr>
          <w:sz w:val="20"/>
        </w:rPr>
        <w:t>in a timely manner</w:t>
      </w:r>
      <w:r w:rsidR="009E14D3">
        <w:rPr>
          <w:sz w:val="20"/>
        </w:rPr>
        <w:t>;</w:t>
      </w:r>
    </w:p>
    <w:p w:rsidR="00AD7BF6" w:rsidRPr="009E14D3" w:rsidRDefault="00AD7BF6" w:rsidP="00647C28">
      <w:pPr>
        <w:numPr>
          <w:ilvl w:val="0"/>
          <w:numId w:val="11"/>
        </w:numPr>
        <w:tabs>
          <w:tab w:val="left" w:pos="624"/>
          <w:tab w:val="left" w:pos="1871"/>
          <w:tab w:val="left" w:pos="2495"/>
          <w:tab w:val="left" w:pos="3119"/>
          <w:tab w:val="left" w:pos="3742"/>
        </w:tabs>
        <w:spacing w:after="120"/>
        <w:ind w:left="1276" w:firstLine="595"/>
        <w:rPr>
          <w:sz w:val="20"/>
        </w:rPr>
      </w:pPr>
      <w:r w:rsidRPr="009E14D3">
        <w:rPr>
          <w:sz w:val="20"/>
        </w:rPr>
        <w:lastRenderedPageBreak/>
        <w:t xml:space="preserve">Options which might </w:t>
      </w:r>
      <w:r w:rsidR="009E14D3">
        <w:rPr>
          <w:sz w:val="20"/>
        </w:rPr>
        <w:t xml:space="preserve">be </w:t>
      </w:r>
      <w:r w:rsidRPr="009E14D3">
        <w:rPr>
          <w:sz w:val="20"/>
        </w:rPr>
        <w:t>consider</w:t>
      </w:r>
      <w:r w:rsidR="009E14D3">
        <w:rPr>
          <w:sz w:val="20"/>
        </w:rPr>
        <w:t>ed</w:t>
      </w:r>
      <w:r w:rsidRPr="009E14D3">
        <w:rPr>
          <w:sz w:val="20"/>
        </w:rPr>
        <w:t xml:space="preserve"> as </w:t>
      </w:r>
      <w:r w:rsidR="009E14D3">
        <w:rPr>
          <w:sz w:val="20"/>
        </w:rPr>
        <w:t xml:space="preserve">incentives and </w:t>
      </w:r>
      <w:r w:rsidR="00D34342">
        <w:rPr>
          <w:sz w:val="20"/>
        </w:rPr>
        <w:t>measures</w:t>
      </w:r>
      <w:r w:rsidRPr="009E14D3">
        <w:rPr>
          <w:sz w:val="24"/>
          <w:szCs w:val="24"/>
        </w:rPr>
        <w:t>.</w:t>
      </w:r>
      <w:r w:rsidRPr="009E14D3">
        <w:rPr>
          <w:color w:val="000000"/>
          <w:sz w:val="23"/>
          <w:szCs w:val="23"/>
        </w:rPr>
        <w:t xml:space="preserve"> </w:t>
      </w:r>
    </w:p>
    <w:p w:rsidR="00467DFC" w:rsidRPr="001B611C" w:rsidRDefault="001B611C" w:rsidP="001B611C">
      <w:pPr>
        <w:pStyle w:val="Normal-pool"/>
        <w:tabs>
          <w:tab w:val="clear" w:pos="1247"/>
          <w:tab w:val="clear" w:pos="1814"/>
          <w:tab w:val="clear" w:pos="2381"/>
          <w:tab w:val="clear" w:pos="2948"/>
          <w:tab w:val="clear" w:pos="3515"/>
          <w:tab w:val="right" w:pos="851"/>
        </w:tabs>
        <w:spacing w:before="240" w:after="120"/>
        <w:rPr>
          <w:b/>
          <w:sz w:val="28"/>
          <w:szCs w:val="28"/>
        </w:rPr>
      </w:pPr>
      <w:r w:rsidRPr="001B611C">
        <w:rPr>
          <w:b/>
          <w:bCs/>
          <w:color w:val="000000"/>
          <w:sz w:val="28"/>
          <w:szCs w:val="28"/>
        </w:rPr>
        <w:tab/>
        <w:t>I.</w:t>
      </w:r>
      <w:r w:rsidRPr="001B611C">
        <w:rPr>
          <w:b/>
          <w:bCs/>
          <w:color w:val="000000"/>
          <w:sz w:val="28"/>
          <w:szCs w:val="28"/>
        </w:rPr>
        <w:tab/>
      </w:r>
      <w:r w:rsidR="00A409C1" w:rsidRPr="001B611C">
        <w:rPr>
          <w:b/>
          <w:bCs/>
          <w:color w:val="000000"/>
          <w:sz w:val="28"/>
          <w:szCs w:val="28"/>
        </w:rPr>
        <w:t xml:space="preserve">Practices </w:t>
      </w:r>
      <w:r w:rsidR="006754E3" w:rsidRPr="001B611C">
        <w:rPr>
          <w:b/>
          <w:bCs/>
          <w:color w:val="000000"/>
          <w:sz w:val="28"/>
          <w:szCs w:val="28"/>
        </w:rPr>
        <w:t xml:space="preserve">under </w:t>
      </w:r>
      <w:r w:rsidR="00A409C1" w:rsidRPr="001B611C">
        <w:rPr>
          <w:b/>
          <w:bCs/>
          <w:color w:val="000000"/>
          <w:sz w:val="28"/>
          <w:szCs w:val="28"/>
        </w:rPr>
        <w:t xml:space="preserve">other </w:t>
      </w:r>
      <w:r w:rsidR="00A409C1" w:rsidRPr="001B611C">
        <w:rPr>
          <w:b/>
          <w:bCs/>
          <w:sz w:val="28"/>
          <w:szCs w:val="28"/>
        </w:rPr>
        <w:t xml:space="preserve">multilateral environmental </w:t>
      </w:r>
      <w:r w:rsidR="004B61C7" w:rsidRPr="001B611C">
        <w:rPr>
          <w:b/>
          <w:bCs/>
          <w:color w:val="000000"/>
          <w:sz w:val="28"/>
          <w:szCs w:val="28"/>
        </w:rPr>
        <w:t>agreements</w:t>
      </w:r>
    </w:p>
    <w:p w:rsidR="003F2539" w:rsidRPr="003F2539" w:rsidRDefault="003F2539" w:rsidP="008C6005">
      <w:pPr>
        <w:numPr>
          <w:ilvl w:val="0"/>
          <w:numId w:val="4"/>
        </w:numPr>
        <w:tabs>
          <w:tab w:val="num" w:pos="567"/>
          <w:tab w:val="left" w:pos="624"/>
          <w:tab w:val="left" w:pos="1871"/>
          <w:tab w:val="left" w:pos="2495"/>
          <w:tab w:val="left" w:pos="3119"/>
          <w:tab w:val="left" w:pos="3742"/>
        </w:tabs>
        <w:spacing w:after="120"/>
        <w:ind w:left="1247" w:firstLine="0"/>
        <w:rPr>
          <w:bCs/>
          <w:sz w:val="20"/>
        </w:rPr>
      </w:pPr>
      <w:r>
        <w:rPr>
          <w:bCs/>
          <w:sz w:val="20"/>
          <w:lang w:val="en-US"/>
        </w:rPr>
        <w:t xml:space="preserve">The Secretariat considered the experience of several </w:t>
      </w:r>
      <w:r w:rsidR="004B61C7" w:rsidRPr="004B61C7">
        <w:rPr>
          <w:bCs/>
          <w:sz w:val="20"/>
          <w:lang w:val="en-US"/>
        </w:rPr>
        <w:t>multilateral</w:t>
      </w:r>
      <w:r>
        <w:rPr>
          <w:bCs/>
          <w:sz w:val="20"/>
          <w:lang w:val="en-US"/>
        </w:rPr>
        <w:t xml:space="preserve"> </w:t>
      </w:r>
      <w:r w:rsidR="004B61C7">
        <w:rPr>
          <w:bCs/>
          <w:sz w:val="20"/>
          <w:lang w:val="en-US"/>
        </w:rPr>
        <w:t xml:space="preserve">environmental agreements </w:t>
      </w:r>
      <w:r>
        <w:rPr>
          <w:bCs/>
          <w:sz w:val="20"/>
          <w:lang w:val="en-US"/>
        </w:rPr>
        <w:t>administered within the United Nations system and the findings are summarized in annex I to the present note.</w:t>
      </w:r>
    </w:p>
    <w:p w:rsidR="008C6005" w:rsidRPr="008C6005" w:rsidRDefault="00611D0E" w:rsidP="008C6005">
      <w:pPr>
        <w:numPr>
          <w:ilvl w:val="0"/>
          <w:numId w:val="4"/>
        </w:numPr>
        <w:tabs>
          <w:tab w:val="num" w:pos="567"/>
          <w:tab w:val="left" w:pos="624"/>
          <w:tab w:val="left" w:pos="1871"/>
          <w:tab w:val="left" w:pos="2495"/>
          <w:tab w:val="left" w:pos="3119"/>
          <w:tab w:val="left" w:pos="3742"/>
        </w:tabs>
        <w:spacing w:after="120"/>
        <w:ind w:left="1247" w:firstLine="0"/>
        <w:rPr>
          <w:bCs/>
          <w:sz w:val="20"/>
        </w:rPr>
      </w:pPr>
      <w:r w:rsidRPr="008C6005">
        <w:rPr>
          <w:bCs/>
          <w:sz w:val="20"/>
          <w:lang w:val="en-US"/>
        </w:rPr>
        <w:t>The most common</w:t>
      </w:r>
      <w:r w:rsidR="00313FEE">
        <w:rPr>
          <w:bCs/>
          <w:sz w:val="20"/>
          <w:lang w:val="en-US"/>
        </w:rPr>
        <w:t>ly provided</w:t>
      </w:r>
      <w:r w:rsidRPr="008C6005">
        <w:rPr>
          <w:bCs/>
          <w:sz w:val="20"/>
          <w:lang w:val="en-US"/>
        </w:rPr>
        <w:t xml:space="preserve"> </w:t>
      </w:r>
      <w:r w:rsidR="00E75702">
        <w:rPr>
          <w:bCs/>
          <w:sz w:val="20"/>
          <w:lang w:val="en-US"/>
        </w:rPr>
        <w:t xml:space="preserve">incentives and measures </w:t>
      </w:r>
      <w:r w:rsidR="00313FEE">
        <w:rPr>
          <w:bCs/>
          <w:sz w:val="20"/>
          <w:lang w:val="en-US"/>
        </w:rPr>
        <w:t>under</w:t>
      </w:r>
      <w:r w:rsidRPr="008C6005">
        <w:rPr>
          <w:bCs/>
          <w:sz w:val="20"/>
          <w:lang w:val="en-US"/>
        </w:rPr>
        <w:t xml:space="preserve"> </w:t>
      </w:r>
      <w:r w:rsidR="00A65437">
        <w:rPr>
          <w:bCs/>
          <w:sz w:val="20"/>
          <w:lang w:val="en-US"/>
        </w:rPr>
        <w:t xml:space="preserve">the </w:t>
      </w:r>
      <w:r w:rsidR="004B61C7" w:rsidRPr="004B61C7">
        <w:rPr>
          <w:bCs/>
          <w:sz w:val="20"/>
          <w:lang w:val="en-US"/>
        </w:rPr>
        <w:t>multilateral</w:t>
      </w:r>
      <w:r w:rsidR="004B61C7">
        <w:rPr>
          <w:bCs/>
          <w:sz w:val="20"/>
          <w:lang w:val="en-US"/>
        </w:rPr>
        <w:t xml:space="preserve"> environmental agreements</w:t>
      </w:r>
      <w:r w:rsidR="00A65437">
        <w:rPr>
          <w:bCs/>
          <w:sz w:val="20"/>
          <w:lang w:val="en-US"/>
        </w:rPr>
        <w:t xml:space="preserve"> considered</w:t>
      </w:r>
      <w:r w:rsidRPr="008C6005">
        <w:rPr>
          <w:bCs/>
          <w:sz w:val="20"/>
          <w:lang w:val="en-US"/>
        </w:rPr>
        <w:t>, including the Basel, Rotterdam and Stockholm conventions,</w:t>
      </w:r>
      <w:r w:rsidR="00FB35BB">
        <w:rPr>
          <w:bCs/>
          <w:sz w:val="20"/>
          <w:lang w:val="en-US"/>
        </w:rPr>
        <w:t xml:space="preserve"> are </w:t>
      </w:r>
      <w:r w:rsidR="008C6005" w:rsidRPr="008C6005">
        <w:rPr>
          <w:bCs/>
          <w:sz w:val="20"/>
          <w:lang w:val="en-US"/>
        </w:rPr>
        <w:t xml:space="preserve">the loss of </w:t>
      </w:r>
      <w:r w:rsidR="00FB35BB">
        <w:rPr>
          <w:bCs/>
          <w:sz w:val="20"/>
          <w:lang w:val="en-US"/>
        </w:rPr>
        <w:t xml:space="preserve">the </w:t>
      </w:r>
      <w:r w:rsidR="005609D8">
        <w:rPr>
          <w:bCs/>
          <w:sz w:val="20"/>
          <w:lang w:val="en-US"/>
        </w:rPr>
        <w:t xml:space="preserve">party’s </w:t>
      </w:r>
      <w:r w:rsidR="00FB35BB">
        <w:rPr>
          <w:bCs/>
          <w:sz w:val="20"/>
          <w:lang w:val="en-US"/>
        </w:rPr>
        <w:t xml:space="preserve">entitlement to vote </w:t>
      </w:r>
      <w:r w:rsidR="008C6005" w:rsidRPr="008C6005">
        <w:rPr>
          <w:bCs/>
          <w:sz w:val="20"/>
          <w:lang w:val="en-US"/>
        </w:rPr>
        <w:t xml:space="preserve">at any meetings </w:t>
      </w:r>
      <w:r w:rsidR="00FB35BB">
        <w:rPr>
          <w:bCs/>
          <w:sz w:val="20"/>
          <w:lang w:val="en-US"/>
        </w:rPr>
        <w:t xml:space="preserve">of the Conference of the Parties </w:t>
      </w:r>
      <w:r w:rsidR="008C6005" w:rsidRPr="008C6005">
        <w:rPr>
          <w:bCs/>
          <w:sz w:val="20"/>
          <w:lang w:val="en-US"/>
        </w:rPr>
        <w:t xml:space="preserve">and </w:t>
      </w:r>
      <w:r w:rsidR="005609D8">
        <w:rPr>
          <w:bCs/>
          <w:sz w:val="20"/>
          <w:lang w:val="en-US"/>
        </w:rPr>
        <w:t xml:space="preserve">the loss of </w:t>
      </w:r>
      <w:r w:rsidRPr="008C6005">
        <w:rPr>
          <w:bCs/>
          <w:sz w:val="20"/>
          <w:lang w:val="en-US"/>
        </w:rPr>
        <w:t>eligib</w:t>
      </w:r>
      <w:r w:rsidR="005609D8">
        <w:rPr>
          <w:bCs/>
          <w:sz w:val="20"/>
          <w:lang w:val="en-US"/>
        </w:rPr>
        <w:t xml:space="preserve">ility for the party </w:t>
      </w:r>
      <w:r w:rsidRPr="008C6005">
        <w:rPr>
          <w:bCs/>
          <w:sz w:val="20"/>
          <w:lang w:val="en-US"/>
        </w:rPr>
        <w:t xml:space="preserve">to become a member of the </w:t>
      </w:r>
      <w:r w:rsidR="003C75F9">
        <w:rPr>
          <w:bCs/>
          <w:sz w:val="20"/>
          <w:lang w:val="en-US"/>
        </w:rPr>
        <w:t>B</w:t>
      </w:r>
      <w:r w:rsidRPr="008C6005">
        <w:rPr>
          <w:bCs/>
          <w:sz w:val="20"/>
          <w:lang w:val="en-US"/>
        </w:rPr>
        <w:t xml:space="preserve">ureau of the </w:t>
      </w:r>
      <w:r w:rsidR="003C75F9">
        <w:rPr>
          <w:bCs/>
          <w:sz w:val="20"/>
          <w:lang w:val="en-US"/>
        </w:rPr>
        <w:t>C</w:t>
      </w:r>
      <w:r w:rsidRPr="008C6005">
        <w:rPr>
          <w:bCs/>
          <w:sz w:val="20"/>
          <w:lang w:val="en-US"/>
        </w:rPr>
        <w:t xml:space="preserve">onference of the </w:t>
      </w:r>
      <w:r w:rsidR="003C75F9">
        <w:rPr>
          <w:bCs/>
          <w:sz w:val="20"/>
          <w:lang w:val="en-US"/>
        </w:rPr>
        <w:t>P</w:t>
      </w:r>
      <w:r w:rsidRPr="008C6005">
        <w:rPr>
          <w:bCs/>
          <w:sz w:val="20"/>
          <w:lang w:val="en-US"/>
        </w:rPr>
        <w:t xml:space="preserve">arties or </w:t>
      </w:r>
      <w:r w:rsidR="00FB35BB">
        <w:rPr>
          <w:bCs/>
          <w:sz w:val="20"/>
          <w:lang w:val="en-US"/>
        </w:rPr>
        <w:t xml:space="preserve">its </w:t>
      </w:r>
      <w:r w:rsidRPr="008C6005">
        <w:rPr>
          <w:bCs/>
          <w:sz w:val="20"/>
          <w:lang w:val="en-US"/>
        </w:rPr>
        <w:t>subsidiary bodies</w:t>
      </w:r>
      <w:r w:rsidR="008C6005" w:rsidRPr="008C6005">
        <w:rPr>
          <w:bCs/>
          <w:sz w:val="20"/>
          <w:lang w:val="en-US"/>
        </w:rPr>
        <w:t xml:space="preserve">. </w:t>
      </w:r>
      <w:r w:rsidRPr="008C6005">
        <w:rPr>
          <w:bCs/>
          <w:sz w:val="20"/>
          <w:lang w:val="en-US"/>
        </w:rPr>
        <w:t xml:space="preserve"> </w:t>
      </w:r>
    </w:p>
    <w:p w:rsidR="008C6005" w:rsidRPr="008C6005" w:rsidRDefault="008C6005" w:rsidP="008C6005">
      <w:pPr>
        <w:numPr>
          <w:ilvl w:val="0"/>
          <w:numId w:val="4"/>
        </w:numPr>
        <w:tabs>
          <w:tab w:val="num" w:pos="567"/>
          <w:tab w:val="left" w:pos="624"/>
          <w:tab w:val="left" w:pos="1871"/>
          <w:tab w:val="left" w:pos="2495"/>
          <w:tab w:val="left" w:pos="3119"/>
          <w:tab w:val="left" w:pos="3742"/>
        </w:tabs>
        <w:spacing w:after="120"/>
        <w:ind w:left="1247" w:firstLine="0"/>
        <w:rPr>
          <w:bCs/>
          <w:sz w:val="20"/>
        </w:rPr>
      </w:pPr>
      <w:r w:rsidRPr="008C6005">
        <w:rPr>
          <w:bCs/>
          <w:sz w:val="20"/>
          <w:lang w:val="en-US"/>
        </w:rPr>
        <w:t>Th</w:t>
      </w:r>
      <w:r w:rsidR="00FB35BB">
        <w:rPr>
          <w:bCs/>
          <w:sz w:val="20"/>
          <w:lang w:val="en-US"/>
        </w:rPr>
        <w:t xml:space="preserve">e former </w:t>
      </w:r>
      <w:r w:rsidR="00E75702">
        <w:rPr>
          <w:bCs/>
          <w:sz w:val="20"/>
          <w:lang w:val="en-US"/>
        </w:rPr>
        <w:t xml:space="preserve">incentive and measure </w:t>
      </w:r>
      <w:r w:rsidRPr="008C6005">
        <w:rPr>
          <w:bCs/>
          <w:sz w:val="20"/>
          <w:lang w:val="en-US"/>
        </w:rPr>
        <w:t>is derived from Article 19 of the Charter of the United Nations, which stipulates that</w:t>
      </w:r>
      <w:r>
        <w:rPr>
          <w:bCs/>
          <w:sz w:val="20"/>
          <w:lang w:val="en-US"/>
        </w:rPr>
        <w:t>:</w:t>
      </w:r>
      <w:r w:rsidRPr="008C6005">
        <w:rPr>
          <w:bCs/>
          <w:sz w:val="20"/>
          <w:lang w:val="en-US"/>
        </w:rPr>
        <w:t xml:space="preserve"> </w:t>
      </w:r>
      <w:r w:rsidRPr="008C6005">
        <w:rPr>
          <w:bCs/>
          <w:sz w:val="20"/>
        </w:rPr>
        <w:t>“A Member of the United Nations which is in arrears in the payment of its financial contributions to the Organization shall have no vote in the General Assembly if the amount of its arrears equals or exceeds the amount of the contributions due from it for the preceding two full years. The General Assembly may, nevertheless, permit such a Member to vote if it is satisfied that the failure to pay is due to conditions beyond the control of the Member.”</w:t>
      </w:r>
    </w:p>
    <w:p w:rsidR="00AD7BF6" w:rsidRDefault="008C6005" w:rsidP="002D4CDE">
      <w:pPr>
        <w:numPr>
          <w:ilvl w:val="0"/>
          <w:numId w:val="4"/>
        </w:numPr>
        <w:tabs>
          <w:tab w:val="num" w:pos="567"/>
          <w:tab w:val="left" w:pos="624"/>
          <w:tab w:val="left" w:pos="1871"/>
          <w:tab w:val="left" w:pos="2495"/>
          <w:tab w:val="left" w:pos="3119"/>
          <w:tab w:val="left" w:pos="3742"/>
        </w:tabs>
        <w:spacing w:after="120"/>
        <w:ind w:left="1247" w:firstLine="0"/>
        <w:rPr>
          <w:bCs/>
          <w:sz w:val="20"/>
          <w:lang w:val="en-US"/>
        </w:rPr>
      </w:pPr>
      <w:r>
        <w:rPr>
          <w:bCs/>
          <w:sz w:val="20"/>
          <w:lang w:val="en-US"/>
        </w:rPr>
        <w:t xml:space="preserve">In the case of </w:t>
      </w:r>
      <w:r w:rsidR="00662C2B">
        <w:rPr>
          <w:bCs/>
          <w:sz w:val="20"/>
          <w:lang w:val="en-US"/>
        </w:rPr>
        <w:t xml:space="preserve">the </w:t>
      </w:r>
      <w:r>
        <w:rPr>
          <w:bCs/>
          <w:sz w:val="20"/>
          <w:lang w:val="en-US"/>
        </w:rPr>
        <w:t>B</w:t>
      </w:r>
      <w:r w:rsidR="00662C2B">
        <w:rPr>
          <w:bCs/>
          <w:sz w:val="20"/>
          <w:lang w:val="en-US"/>
        </w:rPr>
        <w:t xml:space="preserve">asel, </w:t>
      </w:r>
      <w:r>
        <w:rPr>
          <w:bCs/>
          <w:sz w:val="20"/>
          <w:lang w:val="en-US"/>
        </w:rPr>
        <w:t>R</w:t>
      </w:r>
      <w:r w:rsidR="00662C2B">
        <w:rPr>
          <w:bCs/>
          <w:sz w:val="20"/>
          <w:lang w:val="en-US"/>
        </w:rPr>
        <w:t xml:space="preserve">otterdam and </w:t>
      </w:r>
      <w:r>
        <w:rPr>
          <w:bCs/>
          <w:sz w:val="20"/>
          <w:lang w:val="en-US"/>
        </w:rPr>
        <w:t>S</w:t>
      </w:r>
      <w:r w:rsidR="00662C2B">
        <w:rPr>
          <w:bCs/>
          <w:sz w:val="20"/>
          <w:lang w:val="en-US"/>
        </w:rPr>
        <w:t>tockholm conventions</w:t>
      </w:r>
      <w:r>
        <w:rPr>
          <w:bCs/>
          <w:sz w:val="20"/>
          <w:lang w:val="en-US"/>
        </w:rPr>
        <w:t xml:space="preserve">, the </w:t>
      </w:r>
      <w:r w:rsidR="005609D8">
        <w:rPr>
          <w:bCs/>
          <w:sz w:val="20"/>
          <w:lang w:val="en-US"/>
        </w:rPr>
        <w:t xml:space="preserve">Conferences of the Parties </w:t>
      </w:r>
      <w:r>
        <w:rPr>
          <w:bCs/>
          <w:sz w:val="20"/>
          <w:lang w:val="en-US"/>
        </w:rPr>
        <w:t xml:space="preserve">have so far preferred to use persuasion and appeals, rather than </w:t>
      </w:r>
      <w:r w:rsidR="00C46246">
        <w:rPr>
          <w:bCs/>
          <w:sz w:val="20"/>
          <w:lang w:val="en-US"/>
        </w:rPr>
        <w:t xml:space="preserve">applying </w:t>
      </w:r>
      <w:r w:rsidR="00E75702">
        <w:rPr>
          <w:bCs/>
          <w:sz w:val="20"/>
          <w:lang w:val="en-US"/>
        </w:rPr>
        <w:t>incentives and measures.</w:t>
      </w:r>
    </w:p>
    <w:p w:rsidR="00A0128A" w:rsidRPr="00A0128A" w:rsidRDefault="008A3BE3" w:rsidP="00B92809">
      <w:pPr>
        <w:numPr>
          <w:ilvl w:val="0"/>
          <w:numId w:val="4"/>
        </w:numPr>
        <w:tabs>
          <w:tab w:val="num" w:pos="567"/>
          <w:tab w:val="left" w:pos="624"/>
          <w:tab w:val="left" w:pos="1871"/>
          <w:tab w:val="left" w:pos="2495"/>
          <w:tab w:val="left" w:pos="3119"/>
          <w:tab w:val="left" w:pos="3742"/>
        </w:tabs>
        <w:spacing w:after="120"/>
        <w:ind w:left="1247" w:firstLine="0"/>
        <w:rPr>
          <w:bCs/>
          <w:sz w:val="20"/>
          <w:lang w:val="en-US"/>
        </w:rPr>
      </w:pPr>
      <w:r>
        <w:rPr>
          <w:bCs/>
          <w:sz w:val="20"/>
          <w:lang w:val="en-US"/>
        </w:rPr>
        <w:t xml:space="preserve">Other </w:t>
      </w:r>
      <w:r w:rsidR="004B61C7">
        <w:rPr>
          <w:bCs/>
          <w:sz w:val="20"/>
          <w:lang w:val="en-US"/>
        </w:rPr>
        <w:t>agreements</w:t>
      </w:r>
      <w:r>
        <w:rPr>
          <w:bCs/>
          <w:sz w:val="20"/>
          <w:lang w:val="en-US"/>
        </w:rPr>
        <w:t>, which do not have an institutional linkage with the United Nations, have introduce</w:t>
      </w:r>
      <w:r w:rsidR="005C01D3">
        <w:rPr>
          <w:bCs/>
          <w:sz w:val="20"/>
          <w:lang w:val="en-US"/>
        </w:rPr>
        <w:t>d</w:t>
      </w:r>
      <w:r>
        <w:rPr>
          <w:bCs/>
          <w:sz w:val="20"/>
          <w:lang w:val="en-US"/>
        </w:rPr>
        <w:t xml:space="preserve"> more severe </w:t>
      </w:r>
      <w:r w:rsidR="00E75702">
        <w:rPr>
          <w:bCs/>
          <w:sz w:val="20"/>
          <w:lang w:val="en-US"/>
        </w:rPr>
        <w:t>incentives and measures</w:t>
      </w:r>
      <w:r>
        <w:rPr>
          <w:bCs/>
          <w:sz w:val="20"/>
          <w:lang w:val="en-US"/>
        </w:rPr>
        <w:t xml:space="preserve">. For example, the </w:t>
      </w:r>
      <w:r w:rsidR="003F2539" w:rsidRPr="00B92809">
        <w:rPr>
          <w:sz w:val="20"/>
        </w:rPr>
        <w:t>statutes and regulations of the International Union for the Conservation of Nature and Natural Resources (IUCN)</w:t>
      </w:r>
      <w:r w:rsidR="003F2539" w:rsidRPr="008A3BE3">
        <w:rPr>
          <w:rStyle w:val="FootnoteReference"/>
          <w:sz w:val="20"/>
        </w:rPr>
        <w:footnoteReference w:id="4"/>
      </w:r>
      <w:r w:rsidR="003F2539" w:rsidRPr="00B92809">
        <w:rPr>
          <w:sz w:val="20"/>
        </w:rPr>
        <w:t xml:space="preserve"> stipulate that “the rights of a member in connection with elections, voting and motions shall be suspended when the dues of that member are one year in arrears”.  </w:t>
      </w:r>
    </w:p>
    <w:p w:rsidR="00B92809" w:rsidRPr="004B61C7" w:rsidRDefault="00B92809" w:rsidP="001B611C">
      <w:pPr>
        <w:numPr>
          <w:ilvl w:val="0"/>
          <w:numId w:val="4"/>
        </w:numPr>
        <w:tabs>
          <w:tab w:val="num" w:pos="567"/>
          <w:tab w:val="left" w:pos="624"/>
          <w:tab w:val="left" w:pos="1871"/>
          <w:tab w:val="left" w:pos="2495"/>
          <w:tab w:val="left" w:pos="3119"/>
          <w:tab w:val="left" w:pos="3742"/>
        </w:tabs>
        <w:spacing w:after="120"/>
        <w:ind w:left="1247" w:firstLine="0"/>
        <w:rPr>
          <w:bCs/>
          <w:sz w:val="20"/>
          <w:lang w:val="en-US"/>
        </w:rPr>
      </w:pPr>
      <w:r w:rsidRPr="004B61C7">
        <w:rPr>
          <w:sz w:val="20"/>
        </w:rPr>
        <w:t xml:space="preserve">While another </w:t>
      </w:r>
      <w:r w:rsidR="004B61C7" w:rsidRPr="004B61C7">
        <w:rPr>
          <w:sz w:val="20"/>
        </w:rPr>
        <w:t>multilateral environmental agreement</w:t>
      </w:r>
      <w:r w:rsidRPr="004B61C7">
        <w:rPr>
          <w:sz w:val="20"/>
        </w:rPr>
        <w:t>,</w:t>
      </w:r>
      <w:r w:rsidR="004B61C7" w:rsidRPr="004B61C7">
        <w:rPr>
          <w:sz w:val="20"/>
        </w:rPr>
        <w:t xml:space="preserve"> namely the</w:t>
      </w:r>
      <w:r w:rsidR="004B61C7" w:rsidRPr="004B61C7">
        <w:t xml:space="preserve"> </w:t>
      </w:r>
      <w:r w:rsidR="004B61C7" w:rsidRPr="004B61C7">
        <w:rPr>
          <w:sz w:val="20"/>
        </w:rPr>
        <w:t>International Convention for the Regulation of Whaling,</w:t>
      </w:r>
      <w:r w:rsidR="004B61C7">
        <w:rPr>
          <w:sz w:val="20"/>
        </w:rPr>
        <w:t xml:space="preserve"> through</w:t>
      </w:r>
      <w:r w:rsidRPr="004B61C7">
        <w:rPr>
          <w:sz w:val="20"/>
        </w:rPr>
        <w:t xml:space="preserve"> t</w:t>
      </w:r>
      <w:r w:rsidR="003F2539" w:rsidRPr="004B61C7">
        <w:rPr>
          <w:sz w:val="20"/>
        </w:rPr>
        <w:t>he International Whaling Commission reported a system of progressive sanctions such as increased interest charges on outstanding balances</w:t>
      </w:r>
      <w:r w:rsidR="001B611C">
        <w:rPr>
          <w:sz w:val="20"/>
        </w:rPr>
        <w:t>.</w:t>
      </w:r>
      <w:r w:rsidR="003F2539" w:rsidRPr="008A3BE3">
        <w:rPr>
          <w:rStyle w:val="FootnoteReference"/>
          <w:sz w:val="20"/>
        </w:rPr>
        <w:footnoteReference w:id="5"/>
      </w:r>
      <w:r w:rsidR="003F2539" w:rsidRPr="004B61C7">
        <w:rPr>
          <w:sz w:val="20"/>
        </w:rPr>
        <w:t xml:space="preserve"> </w:t>
      </w:r>
      <w:r w:rsidR="00A0128A" w:rsidRPr="004B61C7">
        <w:rPr>
          <w:sz w:val="20"/>
        </w:rPr>
        <w:t xml:space="preserve">In </w:t>
      </w:r>
      <w:r w:rsidR="004B61C7">
        <w:rPr>
          <w:sz w:val="20"/>
        </w:rPr>
        <w:t>this system</w:t>
      </w:r>
      <w:r w:rsidR="00A0128A" w:rsidRPr="004B61C7">
        <w:rPr>
          <w:sz w:val="20"/>
        </w:rPr>
        <w:t xml:space="preserve">, a penalty charge of 10 percent shall be added to the outstanding annual payment on the day following the due date. </w:t>
      </w:r>
    </w:p>
    <w:p w:rsidR="00B92809" w:rsidRPr="00CA7D92" w:rsidRDefault="00CA7D92" w:rsidP="00FD3475">
      <w:pPr>
        <w:numPr>
          <w:ilvl w:val="0"/>
          <w:numId w:val="4"/>
        </w:numPr>
        <w:tabs>
          <w:tab w:val="num" w:pos="567"/>
          <w:tab w:val="left" w:pos="624"/>
          <w:tab w:val="left" w:pos="1871"/>
          <w:tab w:val="left" w:pos="2495"/>
          <w:tab w:val="left" w:pos="3119"/>
          <w:tab w:val="left" w:pos="3742"/>
        </w:tabs>
        <w:spacing w:after="120"/>
        <w:ind w:left="1247" w:firstLine="0"/>
        <w:rPr>
          <w:bCs/>
          <w:sz w:val="20"/>
          <w:lang w:val="en-US"/>
        </w:rPr>
      </w:pPr>
      <w:r w:rsidRPr="00CA7D92">
        <w:rPr>
          <w:bCs/>
          <w:sz w:val="20"/>
          <w:lang w:val="en-US"/>
        </w:rPr>
        <w:t xml:space="preserve">More information on </w:t>
      </w:r>
      <w:r w:rsidR="000502F7">
        <w:rPr>
          <w:bCs/>
          <w:sz w:val="20"/>
          <w:lang w:val="en-US"/>
        </w:rPr>
        <w:t xml:space="preserve">the </w:t>
      </w:r>
      <w:r w:rsidRPr="00CA7D92">
        <w:rPr>
          <w:bCs/>
          <w:sz w:val="20"/>
          <w:lang w:val="en-US"/>
        </w:rPr>
        <w:t xml:space="preserve">types of </w:t>
      </w:r>
      <w:r w:rsidR="00E75702">
        <w:rPr>
          <w:bCs/>
          <w:sz w:val="20"/>
          <w:lang w:val="en-US"/>
        </w:rPr>
        <w:t>incentives and measures</w:t>
      </w:r>
      <w:r w:rsidRPr="00CA7D92">
        <w:rPr>
          <w:bCs/>
          <w:sz w:val="20"/>
          <w:lang w:val="en-US"/>
        </w:rPr>
        <w:t xml:space="preserve">, </w:t>
      </w:r>
      <w:r w:rsidR="000502F7">
        <w:rPr>
          <w:bCs/>
          <w:sz w:val="20"/>
          <w:lang w:val="en-US"/>
        </w:rPr>
        <w:t xml:space="preserve">the </w:t>
      </w:r>
      <w:r w:rsidRPr="00CA7D92">
        <w:rPr>
          <w:bCs/>
          <w:sz w:val="20"/>
          <w:lang w:val="en-US"/>
        </w:rPr>
        <w:t xml:space="preserve">time period </w:t>
      </w:r>
      <w:r w:rsidR="000502F7">
        <w:rPr>
          <w:bCs/>
          <w:sz w:val="20"/>
          <w:lang w:val="en-US"/>
        </w:rPr>
        <w:t xml:space="preserve">to </w:t>
      </w:r>
      <w:r w:rsidRPr="00CA7D92">
        <w:rPr>
          <w:bCs/>
          <w:sz w:val="20"/>
          <w:lang w:val="en-US"/>
        </w:rPr>
        <w:t>trigger</w:t>
      </w:r>
      <w:r w:rsidR="000502F7">
        <w:rPr>
          <w:bCs/>
          <w:sz w:val="20"/>
          <w:lang w:val="en-US"/>
        </w:rPr>
        <w:t xml:space="preserve"> the</w:t>
      </w:r>
      <w:r w:rsidR="00E75702">
        <w:rPr>
          <w:bCs/>
          <w:sz w:val="20"/>
          <w:lang w:val="en-US"/>
        </w:rPr>
        <w:t>m</w:t>
      </w:r>
      <w:r w:rsidR="00C46246">
        <w:rPr>
          <w:bCs/>
          <w:sz w:val="20"/>
          <w:lang w:val="en-US"/>
        </w:rPr>
        <w:t xml:space="preserve">, </w:t>
      </w:r>
      <w:r w:rsidR="000502F7">
        <w:rPr>
          <w:bCs/>
          <w:sz w:val="20"/>
          <w:lang w:val="en-US"/>
        </w:rPr>
        <w:t xml:space="preserve">whether some </w:t>
      </w:r>
      <w:r w:rsidR="00C46246">
        <w:rPr>
          <w:bCs/>
          <w:sz w:val="20"/>
          <w:lang w:val="en-US"/>
        </w:rPr>
        <w:t xml:space="preserve">parties </w:t>
      </w:r>
      <w:r w:rsidR="000502F7">
        <w:rPr>
          <w:bCs/>
          <w:sz w:val="20"/>
          <w:lang w:val="en-US"/>
        </w:rPr>
        <w:t xml:space="preserve">are </w:t>
      </w:r>
      <w:r w:rsidR="00C46246">
        <w:rPr>
          <w:bCs/>
          <w:sz w:val="20"/>
          <w:lang w:val="en-US"/>
        </w:rPr>
        <w:t xml:space="preserve">exempted </w:t>
      </w:r>
      <w:r w:rsidR="000502F7">
        <w:rPr>
          <w:bCs/>
          <w:sz w:val="20"/>
          <w:lang w:val="en-US"/>
        </w:rPr>
        <w:t xml:space="preserve">from them, </w:t>
      </w:r>
      <w:r w:rsidRPr="00CA7D92">
        <w:rPr>
          <w:bCs/>
          <w:sz w:val="20"/>
          <w:lang w:val="en-US"/>
        </w:rPr>
        <w:t xml:space="preserve">and </w:t>
      </w:r>
      <w:r w:rsidR="000502F7">
        <w:rPr>
          <w:bCs/>
          <w:sz w:val="20"/>
          <w:lang w:val="en-US"/>
        </w:rPr>
        <w:t xml:space="preserve">the </w:t>
      </w:r>
      <w:r w:rsidRPr="00CA7D92">
        <w:rPr>
          <w:bCs/>
          <w:sz w:val="20"/>
          <w:lang w:val="en-US"/>
        </w:rPr>
        <w:t xml:space="preserve">action required by </w:t>
      </w:r>
      <w:r w:rsidR="00732BFF">
        <w:rPr>
          <w:bCs/>
          <w:sz w:val="20"/>
          <w:lang w:val="en-US"/>
        </w:rPr>
        <w:t>the</w:t>
      </w:r>
      <w:r w:rsidR="00732BFF" w:rsidRPr="00CA7D92">
        <w:rPr>
          <w:bCs/>
          <w:sz w:val="20"/>
          <w:lang w:val="en-US"/>
        </w:rPr>
        <w:t xml:space="preserve"> </w:t>
      </w:r>
      <w:r w:rsidR="004B61C7">
        <w:rPr>
          <w:bCs/>
          <w:sz w:val="20"/>
          <w:lang w:val="en-US"/>
        </w:rPr>
        <w:t>S</w:t>
      </w:r>
      <w:r w:rsidRPr="00CA7D92">
        <w:rPr>
          <w:bCs/>
          <w:sz w:val="20"/>
          <w:lang w:val="en-US"/>
        </w:rPr>
        <w:t xml:space="preserve">ecretariat </w:t>
      </w:r>
      <w:r w:rsidR="00C46246">
        <w:rPr>
          <w:bCs/>
          <w:sz w:val="20"/>
          <w:lang w:val="en-US"/>
        </w:rPr>
        <w:t xml:space="preserve">of the considered </w:t>
      </w:r>
      <w:r w:rsidR="004B61C7">
        <w:rPr>
          <w:bCs/>
          <w:sz w:val="20"/>
          <w:lang w:val="en-US"/>
        </w:rPr>
        <w:t xml:space="preserve">multilateral environmental agreements </w:t>
      </w:r>
      <w:r w:rsidRPr="00CA7D92">
        <w:rPr>
          <w:bCs/>
          <w:sz w:val="20"/>
          <w:lang w:val="en-US"/>
        </w:rPr>
        <w:t>can be found in annex I.</w:t>
      </w:r>
    </w:p>
    <w:p w:rsidR="00467DFC" w:rsidRPr="001B611C" w:rsidRDefault="001B611C" w:rsidP="001B611C">
      <w:pPr>
        <w:pStyle w:val="Normal-pool"/>
        <w:tabs>
          <w:tab w:val="clear" w:pos="1247"/>
          <w:tab w:val="clear" w:pos="1814"/>
          <w:tab w:val="clear" w:pos="2381"/>
          <w:tab w:val="clear" w:pos="2948"/>
          <w:tab w:val="clear" w:pos="3515"/>
          <w:tab w:val="right" w:pos="851"/>
        </w:tabs>
        <w:spacing w:before="240" w:after="120"/>
        <w:rPr>
          <w:b/>
          <w:bCs/>
          <w:color w:val="000000"/>
          <w:sz w:val="28"/>
          <w:szCs w:val="28"/>
        </w:rPr>
      </w:pPr>
      <w:r>
        <w:rPr>
          <w:b/>
          <w:bCs/>
          <w:color w:val="000000"/>
          <w:sz w:val="28"/>
          <w:szCs w:val="28"/>
        </w:rPr>
        <w:tab/>
        <w:t>II.</w:t>
      </w:r>
      <w:r>
        <w:rPr>
          <w:b/>
          <w:bCs/>
          <w:color w:val="000000"/>
          <w:sz w:val="28"/>
          <w:szCs w:val="28"/>
        </w:rPr>
        <w:tab/>
      </w:r>
      <w:r w:rsidR="00A409C1" w:rsidRPr="001B611C">
        <w:rPr>
          <w:b/>
          <w:bCs/>
          <w:color w:val="000000"/>
          <w:sz w:val="28"/>
          <w:szCs w:val="28"/>
        </w:rPr>
        <w:t xml:space="preserve">Approach within the United Nations system </w:t>
      </w:r>
    </w:p>
    <w:p w:rsidR="00572A9F" w:rsidRPr="00467DFC" w:rsidRDefault="00311664" w:rsidP="0017400A">
      <w:pPr>
        <w:numPr>
          <w:ilvl w:val="0"/>
          <w:numId w:val="4"/>
        </w:numPr>
        <w:tabs>
          <w:tab w:val="num" w:pos="567"/>
          <w:tab w:val="left" w:pos="624"/>
          <w:tab w:val="left" w:pos="1871"/>
          <w:tab w:val="left" w:pos="2495"/>
          <w:tab w:val="left" w:pos="3119"/>
          <w:tab w:val="left" w:pos="3742"/>
        </w:tabs>
        <w:spacing w:after="120"/>
        <w:ind w:left="1247" w:firstLine="0"/>
        <w:rPr>
          <w:sz w:val="20"/>
        </w:rPr>
      </w:pPr>
      <w:r w:rsidRPr="00467DFC">
        <w:rPr>
          <w:bCs/>
          <w:sz w:val="20"/>
        </w:rPr>
        <w:t>It might</w:t>
      </w:r>
      <w:r w:rsidR="00572A9F" w:rsidRPr="00467DFC">
        <w:rPr>
          <w:bCs/>
          <w:sz w:val="20"/>
        </w:rPr>
        <w:t xml:space="preserve"> also</w:t>
      </w:r>
      <w:r w:rsidRPr="00467DFC">
        <w:rPr>
          <w:bCs/>
          <w:sz w:val="20"/>
        </w:rPr>
        <w:t xml:space="preserve"> be useful to consider the a</w:t>
      </w:r>
      <w:r w:rsidRPr="00467DFC">
        <w:rPr>
          <w:sz w:val="20"/>
        </w:rPr>
        <w:t xml:space="preserve">pproach taken by organizations in the United Nations </w:t>
      </w:r>
      <w:r w:rsidR="0017400A" w:rsidRPr="00467DFC">
        <w:rPr>
          <w:sz w:val="20"/>
        </w:rPr>
        <w:t>system</w:t>
      </w:r>
      <w:r w:rsidR="00E67BBC" w:rsidRPr="00467DFC">
        <w:rPr>
          <w:sz w:val="20"/>
        </w:rPr>
        <w:t>.  T</w:t>
      </w:r>
      <w:r w:rsidRPr="00467DFC">
        <w:rPr>
          <w:sz w:val="20"/>
        </w:rPr>
        <w:t>his information is provided in annex II.</w:t>
      </w:r>
      <w:r w:rsidR="0017400A" w:rsidRPr="00467DFC">
        <w:rPr>
          <w:sz w:val="20"/>
        </w:rPr>
        <w:t xml:space="preserve"> </w:t>
      </w:r>
    </w:p>
    <w:p w:rsidR="00311664" w:rsidRPr="00467DFC" w:rsidRDefault="0017400A" w:rsidP="0017400A">
      <w:pPr>
        <w:numPr>
          <w:ilvl w:val="0"/>
          <w:numId w:val="4"/>
        </w:numPr>
        <w:tabs>
          <w:tab w:val="num" w:pos="567"/>
          <w:tab w:val="left" w:pos="624"/>
          <w:tab w:val="left" w:pos="1871"/>
          <w:tab w:val="left" w:pos="2495"/>
          <w:tab w:val="left" w:pos="3119"/>
          <w:tab w:val="left" w:pos="3742"/>
        </w:tabs>
        <w:spacing w:after="120"/>
        <w:ind w:left="1247" w:firstLine="0"/>
        <w:rPr>
          <w:sz w:val="20"/>
        </w:rPr>
      </w:pPr>
      <w:r w:rsidRPr="00467DFC">
        <w:rPr>
          <w:sz w:val="20"/>
        </w:rPr>
        <w:t>For instance, t</w:t>
      </w:r>
      <w:r w:rsidR="00311664" w:rsidRPr="00467DFC">
        <w:rPr>
          <w:sz w:val="20"/>
        </w:rPr>
        <w:t xml:space="preserve">he use of interest charge is not </w:t>
      </w:r>
      <w:r w:rsidR="00E75702" w:rsidRPr="00467DFC">
        <w:rPr>
          <w:sz w:val="20"/>
        </w:rPr>
        <w:t xml:space="preserve">common </w:t>
      </w:r>
      <w:r w:rsidRPr="00467DFC">
        <w:rPr>
          <w:sz w:val="20"/>
        </w:rPr>
        <w:t>and f</w:t>
      </w:r>
      <w:r w:rsidR="00311664" w:rsidRPr="00467DFC">
        <w:rPr>
          <w:sz w:val="20"/>
        </w:rPr>
        <w:t>rom the fourteen U</w:t>
      </w:r>
      <w:r w:rsidR="00D768D8" w:rsidRPr="00467DFC">
        <w:rPr>
          <w:sz w:val="20"/>
        </w:rPr>
        <w:t xml:space="preserve">nited </w:t>
      </w:r>
      <w:r w:rsidR="00311664" w:rsidRPr="00467DFC">
        <w:rPr>
          <w:sz w:val="20"/>
        </w:rPr>
        <w:t>N</w:t>
      </w:r>
      <w:r w:rsidR="00D768D8" w:rsidRPr="00467DFC">
        <w:rPr>
          <w:sz w:val="20"/>
        </w:rPr>
        <w:t>ations</w:t>
      </w:r>
      <w:r w:rsidR="00311664" w:rsidRPr="00467DFC">
        <w:rPr>
          <w:sz w:val="20"/>
        </w:rPr>
        <w:t xml:space="preserve"> agencies considered, only two </w:t>
      </w:r>
      <w:r w:rsidR="00E75702" w:rsidRPr="00467DFC">
        <w:rPr>
          <w:sz w:val="20"/>
        </w:rPr>
        <w:t xml:space="preserve">provide for </w:t>
      </w:r>
      <w:r w:rsidR="00311664" w:rsidRPr="00467DFC">
        <w:rPr>
          <w:sz w:val="20"/>
        </w:rPr>
        <w:t>this policy</w:t>
      </w:r>
      <w:r w:rsidR="00D768D8" w:rsidRPr="00467DFC">
        <w:rPr>
          <w:sz w:val="20"/>
        </w:rPr>
        <w:t>,</w:t>
      </w:r>
      <w:r w:rsidR="00311664" w:rsidRPr="00467DFC">
        <w:rPr>
          <w:sz w:val="20"/>
        </w:rPr>
        <w:t xml:space="preserve"> namely</w:t>
      </w:r>
      <w:r w:rsidR="00D768D8" w:rsidRPr="00467DFC">
        <w:rPr>
          <w:sz w:val="20"/>
        </w:rPr>
        <w:t xml:space="preserve"> the</w:t>
      </w:r>
      <w:r w:rsidR="00572A9F" w:rsidRPr="00467DFC">
        <w:rPr>
          <w:sz w:val="20"/>
        </w:rPr>
        <w:t xml:space="preserve"> International Telecommunications Union (</w:t>
      </w:r>
      <w:r w:rsidR="00311664" w:rsidRPr="00467DFC">
        <w:rPr>
          <w:sz w:val="20"/>
        </w:rPr>
        <w:t>ITU</w:t>
      </w:r>
      <w:r w:rsidR="00572A9F" w:rsidRPr="00467DFC">
        <w:rPr>
          <w:sz w:val="20"/>
        </w:rPr>
        <w:t xml:space="preserve">) and </w:t>
      </w:r>
      <w:r w:rsidR="00D768D8" w:rsidRPr="00467DFC">
        <w:rPr>
          <w:sz w:val="20"/>
        </w:rPr>
        <w:t xml:space="preserve">the </w:t>
      </w:r>
      <w:r w:rsidR="00572A9F" w:rsidRPr="00467DFC">
        <w:rPr>
          <w:sz w:val="20"/>
        </w:rPr>
        <w:t>Universal Postal Union (</w:t>
      </w:r>
      <w:r w:rsidR="00311664" w:rsidRPr="00467DFC">
        <w:rPr>
          <w:sz w:val="20"/>
        </w:rPr>
        <w:t>UPU</w:t>
      </w:r>
      <w:r w:rsidR="00A409C1" w:rsidRPr="00467DFC">
        <w:rPr>
          <w:vertAlign w:val="superscript"/>
        </w:rPr>
        <w:footnoteReference w:id="6"/>
      </w:r>
      <w:r w:rsidR="00572A9F" w:rsidRPr="00467DFC">
        <w:rPr>
          <w:sz w:val="20"/>
        </w:rPr>
        <w:t>)</w:t>
      </w:r>
      <w:r w:rsidR="006C2B42" w:rsidRPr="00467DFC">
        <w:rPr>
          <w:sz w:val="20"/>
        </w:rPr>
        <w:t>,</w:t>
      </w:r>
      <w:r w:rsidR="00572A9F" w:rsidRPr="00467DFC">
        <w:rPr>
          <w:sz w:val="20"/>
        </w:rPr>
        <w:t xml:space="preserve"> </w:t>
      </w:r>
      <w:r w:rsidR="00D768D8" w:rsidRPr="00467DFC">
        <w:rPr>
          <w:sz w:val="20"/>
        </w:rPr>
        <w:t>while</w:t>
      </w:r>
      <w:r w:rsidR="00572A9F" w:rsidRPr="00467DFC">
        <w:rPr>
          <w:sz w:val="20"/>
        </w:rPr>
        <w:t xml:space="preserve"> the majority of the organizations </w:t>
      </w:r>
      <w:r w:rsidR="00E75702" w:rsidRPr="00467DFC">
        <w:rPr>
          <w:sz w:val="20"/>
        </w:rPr>
        <w:t xml:space="preserve">provide for </w:t>
      </w:r>
      <w:r w:rsidR="00572A9F" w:rsidRPr="00467DFC">
        <w:rPr>
          <w:sz w:val="20"/>
        </w:rPr>
        <w:t>the los</w:t>
      </w:r>
      <w:r w:rsidR="00E75702" w:rsidRPr="00467DFC">
        <w:rPr>
          <w:sz w:val="20"/>
        </w:rPr>
        <w:t>s</w:t>
      </w:r>
      <w:r w:rsidR="00572A9F" w:rsidRPr="00467DFC">
        <w:rPr>
          <w:sz w:val="20"/>
        </w:rPr>
        <w:t xml:space="preserve"> of voting rights as </w:t>
      </w:r>
      <w:r w:rsidR="00E75702" w:rsidRPr="00467DFC">
        <w:rPr>
          <w:sz w:val="20"/>
        </w:rPr>
        <w:t xml:space="preserve">an </w:t>
      </w:r>
      <w:r w:rsidR="00E75702" w:rsidRPr="00467DFC">
        <w:rPr>
          <w:bCs/>
          <w:sz w:val="20"/>
          <w:lang w:val="en-US"/>
        </w:rPr>
        <w:t>incentive and measure</w:t>
      </w:r>
      <w:r w:rsidR="00311664" w:rsidRPr="00467DFC">
        <w:rPr>
          <w:sz w:val="20"/>
        </w:rPr>
        <w:t>.</w:t>
      </w:r>
    </w:p>
    <w:p w:rsidR="00467DFC" w:rsidRPr="001B611C" w:rsidRDefault="001B611C" w:rsidP="001B611C">
      <w:pPr>
        <w:pStyle w:val="Normal-pool"/>
        <w:tabs>
          <w:tab w:val="clear" w:pos="1247"/>
          <w:tab w:val="clear" w:pos="1814"/>
          <w:tab w:val="clear" w:pos="2381"/>
          <w:tab w:val="clear" w:pos="2948"/>
          <w:tab w:val="clear" w:pos="3515"/>
          <w:tab w:val="right" w:pos="851"/>
        </w:tabs>
        <w:spacing w:before="240" w:after="120"/>
        <w:ind w:left="1247" w:hanging="1247"/>
        <w:rPr>
          <w:b/>
          <w:bCs/>
          <w:color w:val="000000"/>
          <w:sz w:val="28"/>
          <w:szCs w:val="28"/>
        </w:rPr>
      </w:pPr>
      <w:r>
        <w:rPr>
          <w:b/>
          <w:bCs/>
          <w:color w:val="000000"/>
          <w:sz w:val="28"/>
          <w:szCs w:val="28"/>
        </w:rPr>
        <w:tab/>
        <w:t>III.</w:t>
      </w:r>
      <w:r>
        <w:rPr>
          <w:b/>
          <w:bCs/>
          <w:color w:val="000000"/>
          <w:sz w:val="28"/>
          <w:szCs w:val="28"/>
        </w:rPr>
        <w:tab/>
      </w:r>
      <w:r w:rsidR="00E75702" w:rsidRPr="001B611C">
        <w:rPr>
          <w:b/>
          <w:bCs/>
          <w:color w:val="000000"/>
          <w:sz w:val="28"/>
          <w:szCs w:val="28"/>
        </w:rPr>
        <w:t>Incentives and m</w:t>
      </w:r>
      <w:r w:rsidR="00A409C1" w:rsidRPr="001B611C">
        <w:rPr>
          <w:b/>
          <w:bCs/>
          <w:color w:val="000000"/>
          <w:sz w:val="28"/>
          <w:szCs w:val="28"/>
        </w:rPr>
        <w:t xml:space="preserve">easures already taken by the Basel, Rotterdam, and Stockholm conventions </w:t>
      </w:r>
    </w:p>
    <w:p w:rsidR="003361FD" w:rsidRPr="00467DFC" w:rsidRDefault="003361FD" w:rsidP="003361FD">
      <w:pPr>
        <w:numPr>
          <w:ilvl w:val="0"/>
          <w:numId w:val="4"/>
        </w:numPr>
        <w:tabs>
          <w:tab w:val="num" w:pos="567"/>
          <w:tab w:val="left" w:pos="624"/>
          <w:tab w:val="left" w:pos="1871"/>
          <w:tab w:val="left" w:pos="2495"/>
          <w:tab w:val="left" w:pos="3119"/>
          <w:tab w:val="left" w:pos="3742"/>
        </w:tabs>
        <w:spacing w:after="120"/>
        <w:ind w:left="1247" w:firstLine="0"/>
        <w:rPr>
          <w:sz w:val="20"/>
        </w:rPr>
      </w:pPr>
      <w:r w:rsidRPr="00467DFC">
        <w:rPr>
          <w:bCs/>
          <w:sz w:val="20"/>
        </w:rPr>
        <w:t xml:space="preserve">As per the </w:t>
      </w:r>
      <w:r w:rsidR="00E75702" w:rsidRPr="00467DFC">
        <w:rPr>
          <w:bCs/>
          <w:sz w:val="20"/>
        </w:rPr>
        <w:t xml:space="preserve">respective </w:t>
      </w:r>
      <w:r w:rsidRPr="00467DFC">
        <w:rPr>
          <w:bCs/>
          <w:sz w:val="20"/>
        </w:rPr>
        <w:t>financial rules for the Basel, Rotterdam and Stockholm convent</w:t>
      </w:r>
      <w:r w:rsidR="00A409C1" w:rsidRPr="00467DFC">
        <w:rPr>
          <w:sz w:val="20"/>
        </w:rPr>
        <w:t>i</w:t>
      </w:r>
      <w:r w:rsidRPr="00467DFC">
        <w:rPr>
          <w:sz w:val="20"/>
        </w:rPr>
        <w:t xml:space="preserve">ons, rule 5, paragraph 3 (c) and (d), the Secretariat maintains records of arrears </w:t>
      </w:r>
      <w:r w:rsidR="00E75702" w:rsidRPr="00467DFC">
        <w:rPr>
          <w:sz w:val="20"/>
        </w:rPr>
        <w:t xml:space="preserve">in contributions to the operational budgets </w:t>
      </w:r>
      <w:r w:rsidRPr="00467DFC">
        <w:rPr>
          <w:sz w:val="20"/>
        </w:rPr>
        <w:t xml:space="preserve">for each of the conventions and </w:t>
      </w:r>
      <w:r w:rsidR="00E75702" w:rsidRPr="00467DFC">
        <w:rPr>
          <w:sz w:val="20"/>
        </w:rPr>
        <w:t xml:space="preserve">regularly </w:t>
      </w:r>
      <w:r w:rsidRPr="00467DFC">
        <w:rPr>
          <w:sz w:val="20"/>
        </w:rPr>
        <w:t>post</w:t>
      </w:r>
      <w:r w:rsidR="00E75702" w:rsidRPr="00467DFC">
        <w:rPr>
          <w:sz w:val="20"/>
        </w:rPr>
        <w:t>s</w:t>
      </w:r>
      <w:r w:rsidRPr="00467DFC">
        <w:rPr>
          <w:sz w:val="20"/>
        </w:rPr>
        <w:t xml:space="preserve"> </w:t>
      </w:r>
      <w:r w:rsidR="00E75702" w:rsidRPr="00467DFC">
        <w:rPr>
          <w:sz w:val="20"/>
        </w:rPr>
        <w:t xml:space="preserve">on the convention-specific websites </w:t>
      </w:r>
      <w:r w:rsidRPr="00467DFC">
        <w:rPr>
          <w:sz w:val="20"/>
        </w:rPr>
        <w:t>information on contribution</w:t>
      </w:r>
      <w:r w:rsidR="00E75702" w:rsidRPr="00467DFC">
        <w:rPr>
          <w:sz w:val="20"/>
        </w:rPr>
        <w:t xml:space="preserve">s actually received. </w:t>
      </w:r>
    </w:p>
    <w:p w:rsidR="003361FD" w:rsidRPr="00467DFC" w:rsidRDefault="003361FD" w:rsidP="00B71D99">
      <w:pPr>
        <w:numPr>
          <w:ilvl w:val="0"/>
          <w:numId w:val="4"/>
        </w:numPr>
        <w:tabs>
          <w:tab w:val="num" w:pos="567"/>
          <w:tab w:val="left" w:pos="624"/>
          <w:tab w:val="left" w:pos="1871"/>
          <w:tab w:val="left" w:pos="2495"/>
          <w:tab w:val="left" w:pos="3119"/>
          <w:tab w:val="left" w:pos="3742"/>
        </w:tabs>
        <w:spacing w:after="120"/>
        <w:ind w:left="1247" w:firstLine="0"/>
        <w:rPr>
          <w:sz w:val="20"/>
        </w:rPr>
      </w:pPr>
      <w:r w:rsidRPr="00467DFC">
        <w:rPr>
          <w:sz w:val="20"/>
        </w:rPr>
        <w:t>The Secretariat has continued its efforts to encourage parties to make their contributions in a timely manner and some of those initiatives include:</w:t>
      </w:r>
    </w:p>
    <w:p w:rsidR="00467DFC" w:rsidRPr="00467DFC" w:rsidRDefault="003361FD">
      <w:pPr>
        <w:numPr>
          <w:ilvl w:val="0"/>
          <w:numId w:val="17"/>
        </w:numPr>
        <w:spacing w:after="120"/>
        <w:ind w:left="1276" w:firstLine="596"/>
        <w:rPr>
          <w:sz w:val="20"/>
        </w:rPr>
      </w:pPr>
      <w:r w:rsidRPr="00467DFC">
        <w:rPr>
          <w:sz w:val="20"/>
        </w:rPr>
        <w:lastRenderedPageBreak/>
        <w:t>Ensuring that invoices of indicative contributions are dispatched by 30 September of the year preceding that in which the contributions are due;</w:t>
      </w:r>
    </w:p>
    <w:p w:rsidR="00467DFC" w:rsidRDefault="003361FD">
      <w:pPr>
        <w:numPr>
          <w:ilvl w:val="0"/>
          <w:numId w:val="17"/>
        </w:numPr>
        <w:spacing w:after="120"/>
        <w:ind w:left="1276" w:firstLine="596"/>
        <w:rPr>
          <w:sz w:val="20"/>
        </w:rPr>
      </w:pPr>
      <w:r>
        <w:rPr>
          <w:sz w:val="20"/>
        </w:rPr>
        <w:t>Sending electronic copies of invoices to country focal points</w:t>
      </w:r>
      <w:r w:rsidR="00AC14F9">
        <w:rPr>
          <w:sz w:val="20"/>
        </w:rPr>
        <w:t xml:space="preserve"> and to their permanent missions in Geneva</w:t>
      </w:r>
      <w:r>
        <w:rPr>
          <w:sz w:val="20"/>
        </w:rPr>
        <w:t xml:space="preserve"> who are encouraged to liaise with the government </w:t>
      </w:r>
      <w:r w:rsidR="00E75702">
        <w:rPr>
          <w:sz w:val="20"/>
        </w:rPr>
        <w:t xml:space="preserve">entity </w:t>
      </w:r>
      <w:r>
        <w:rPr>
          <w:sz w:val="20"/>
        </w:rPr>
        <w:t>responsible for settling the invoice;</w:t>
      </w:r>
    </w:p>
    <w:p w:rsidR="00467DFC" w:rsidRDefault="00AC14F9">
      <w:pPr>
        <w:numPr>
          <w:ilvl w:val="0"/>
          <w:numId w:val="17"/>
        </w:numPr>
        <w:spacing w:after="120"/>
        <w:ind w:left="1276" w:firstLine="596"/>
        <w:rPr>
          <w:sz w:val="20"/>
        </w:rPr>
      </w:pPr>
      <w:r w:rsidRPr="00B71D99">
        <w:rPr>
          <w:sz w:val="20"/>
        </w:rPr>
        <w:t>Reviewing the mailing address database used in the invoices to ensure that it</w:t>
      </w:r>
      <w:r w:rsidR="006C2B42">
        <w:rPr>
          <w:sz w:val="20"/>
        </w:rPr>
        <w:t xml:space="preserve"> i</w:t>
      </w:r>
      <w:r w:rsidRPr="00B71D99">
        <w:rPr>
          <w:sz w:val="20"/>
        </w:rPr>
        <w:t>s up-to-date;</w:t>
      </w:r>
    </w:p>
    <w:p w:rsidR="00467DFC" w:rsidRDefault="00AC14F9">
      <w:pPr>
        <w:numPr>
          <w:ilvl w:val="0"/>
          <w:numId w:val="17"/>
        </w:numPr>
        <w:spacing w:after="120"/>
        <w:ind w:left="1276" w:firstLine="596"/>
        <w:rPr>
          <w:sz w:val="20"/>
        </w:rPr>
      </w:pPr>
      <w:r w:rsidRPr="00B71D99">
        <w:rPr>
          <w:sz w:val="20"/>
        </w:rPr>
        <w:t xml:space="preserve">Issuing reports on status of contributions which list parties that have and have not paid their contributions </w:t>
      </w:r>
      <w:r w:rsidR="006C2B42">
        <w:rPr>
          <w:sz w:val="20"/>
        </w:rPr>
        <w:t xml:space="preserve">that are distributed </w:t>
      </w:r>
      <w:r w:rsidRPr="00B71D99">
        <w:rPr>
          <w:sz w:val="20"/>
        </w:rPr>
        <w:t>at meetings of</w:t>
      </w:r>
      <w:r>
        <w:rPr>
          <w:sz w:val="20"/>
        </w:rPr>
        <w:t xml:space="preserve"> subsidiary bodies and </w:t>
      </w:r>
      <w:r w:rsidR="006C2B42">
        <w:rPr>
          <w:sz w:val="20"/>
        </w:rPr>
        <w:t xml:space="preserve">of </w:t>
      </w:r>
      <w:r>
        <w:rPr>
          <w:sz w:val="20"/>
        </w:rPr>
        <w:t>conferences of the parties, thus prompting delegates to take remedial action;</w:t>
      </w:r>
    </w:p>
    <w:p w:rsidR="00467DFC" w:rsidRDefault="00AC14F9">
      <w:pPr>
        <w:numPr>
          <w:ilvl w:val="0"/>
          <w:numId w:val="17"/>
        </w:numPr>
        <w:spacing w:after="120"/>
        <w:ind w:left="1276" w:firstLine="596"/>
        <w:rPr>
          <w:sz w:val="20"/>
        </w:rPr>
      </w:pPr>
      <w:r>
        <w:rPr>
          <w:sz w:val="20"/>
        </w:rPr>
        <w:t xml:space="preserve">Sending out letters from the Executive Secretary, and contacting permanent missions mainly in Geneva, to </w:t>
      </w:r>
      <w:r w:rsidR="00F60938">
        <w:rPr>
          <w:sz w:val="20"/>
        </w:rPr>
        <w:t>p</w:t>
      </w:r>
      <w:r>
        <w:rPr>
          <w:sz w:val="20"/>
        </w:rPr>
        <w:t>arties whose contributions are in arrears urging them to a make a payment o</w:t>
      </w:r>
      <w:r w:rsidR="00F938C3">
        <w:rPr>
          <w:sz w:val="20"/>
        </w:rPr>
        <w:t>r</w:t>
      </w:r>
      <w:r>
        <w:rPr>
          <w:sz w:val="20"/>
        </w:rPr>
        <w:t xml:space="preserve"> agree on a schedule of payment</w:t>
      </w:r>
      <w:r w:rsidR="00F938C3">
        <w:rPr>
          <w:sz w:val="20"/>
        </w:rPr>
        <w:t>;</w:t>
      </w:r>
    </w:p>
    <w:p w:rsidR="00467DFC" w:rsidRDefault="00AC14F9">
      <w:pPr>
        <w:numPr>
          <w:ilvl w:val="0"/>
          <w:numId w:val="17"/>
        </w:numPr>
        <w:spacing w:after="120"/>
        <w:ind w:left="1276" w:firstLine="596"/>
        <w:rPr>
          <w:sz w:val="20"/>
        </w:rPr>
      </w:pPr>
      <w:r>
        <w:rPr>
          <w:sz w:val="20"/>
        </w:rPr>
        <w:t xml:space="preserve">Exploring different outreach options to communicate a positive message focusing on the benefits to parties of paying their contributions </w:t>
      </w:r>
      <w:r w:rsidR="001E637A">
        <w:rPr>
          <w:sz w:val="20"/>
        </w:rPr>
        <w:t xml:space="preserve">to the operational budget </w:t>
      </w:r>
      <w:r>
        <w:rPr>
          <w:sz w:val="20"/>
        </w:rPr>
        <w:t>and the type of impact such payments will have at both the global and national levels</w:t>
      </w:r>
      <w:r w:rsidR="00E67BBC">
        <w:rPr>
          <w:sz w:val="20"/>
        </w:rPr>
        <w:t>.</w:t>
      </w:r>
    </w:p>
    <w:p w:rsidR="00E50565" w:rsidRPr="00AE7E64" w:rsidRDefault="00E50565" w:rsidP="00B71D99">
      <w:pPr>
        <w:numPr>
          <w:ilvl w:val="0"/>
          <w:numId w:val="4"/>
        </w:numPr>
        <w:tabs>
          <w:tab w:val="num" w:pos="567"/>
          <w:tab w:val="left" w:pos="624"/>
          <w:tab w:val="left" w:pos="1871"/>
          <w:tab w:val="left" w:pos="2495"/>
          <w:tab w:val="left" w:pos="3119"/>
          <w:tab w:val="left" w:pos="3742"/>
        </w:tabs>
        <w:spacing w:after="120"/>
        <w:ind w:left="1247" w:firstLine="0"/>
        <w:rPr>
          <w:sz w:val="20"/>
        </w:rPr>
      </w:pPr>
      <w:r w:rsidRPr="00AE7E64">
        <w:rPr>
          <w:sz w:val="20"/>
        </w:rPr>
        <w:t xml:space="preserve">The above-mentioned </w:t>
      </w:r>
      <w:r w:rsidR="001E637A">
        <w:rPr>
          <w:sz w:val="20"/>
        </w:rPr>
        <w:t xml:space="preserve">incentives and </w:t>
      </w:r>
      <w:r w:rsidRPr="00AE7E64">
        <w:rPr>
          <w:sz w:val="20"/>
        </w:rPr>
        <w:t>measures have produced positive results but have not proved sufficient</w:t>
      </w:r>
      <w:r w:rsidR="00AE7E64" w:rsidRPr="00AE7E64">
        <w:rPr>
          <w:sz w:val="20"/>
        </w:rPr>
        <w:t xml:space="preserve"> enough to encourage parties to pay their contributions in full and in timely manner. </w:t>
      </w:r>
    </w:p>
    <w:p w:rsidR="00467DFC" w:rsidRPr="001B611C" w:rsidRDefault="001B611C" w:rsidP="001B611C">
      <w:pPr>
        <w:pStyle w:val="Normal-pool"/>
        <w:tabs>
          <w:tab w:val="clear" w:pos="1247"/>
          <w:tab w:val="clear" w:pos="1814"/>
          <w:tab w:val="clear" w:pos="2381"/>
          <w:tab w:val="clear" w:pos="2948"/>
          <w:tab w:val="clear" w:pos="3515"/>
          <w:tab w:val="right" w:pos="851"/>
        </w:tabs>
        <w:spacing w:before="240" w:after="120"/>
        <w:ind w:left="1247" w:hanging="1247"/>
        <w:rPr>
          <w:b/>
          <w:bCs/>
          <w:color w:val="000000"/>
          <w:sz w:val="28"/>
          <w:szCs w:val="28"/>
        </w:rPr>
      </w:pPr>
      <w:r>
        <w:rPr>
          <w:b/>
          <w:bCs/>
          <w:color w:val="000000"/>
          <w:sz w:val="28"/>
          <w:szCs w:val="28"/>
        </w:rPr>
        <w:tab/>
        <w:t>IV.</w:t>
      </w:r>
      <w:r>
        <w:rPr>
          <w:b/>
          <w:bCs/>
          <w:color w:val="000000"/>
          <w:sz w:val="28"/>
          <w:szCs w:val="28"/>
        </w:rPr>
        <w:tab/>
      </w:r>
      <w:r w:rsidR="00A409C1" w:rsidRPr="001B611C">
        <w:rPr>
          <w:b/>
          <w:bCs/>
          <w:color w:val="000000"/>
          <w:sz w:val="28"/>
          <w:szCs w:val="28"/>
        </w:rPr>
        <w:t>Additional options of incentives and measures that might be considered</w:t>
      </w:r>
      <w:r w:rsidR="00A656C3" w:rsidRPr="001B611C">
        <w:rPr>
          <w:b/>
          <w:bCs/>
          <w:color w:val="000000"/>
          <w:sz w:val="28"/>
          <w:szCs w:val="28"/>
        </w:rPr>
        <w:t xml:space="preserve"> </w:t>
      </w:r>
    </w:p>
    <w:p w:rsidR="00D34342" w:rsidRDefault="00A656C3" w:rsidP="00DC4DF4">
      <w:pPr>
        <w:numPr>
          <w:ilvl w:val="0"/>
          <w:numId w:val="4"/>
        </w:numPr>
        <w:tabs>
          <w:tab w:val="num" w:pos="567"/>
          <w:tab w:val="left" w:pos="624"/>
          <w:tab w:val="left" w:pos="1871"/>
          <w:tab w:val="left" w:pos="2495"/>
          <w:tab w:val="left" w:pos="3119"/>
          <w:tab w:val="left" w:pos="3742"/>
        </w:tabs>
        <w:spacing w:after="120"/>
        <w:ind w:left="1247" w:firstLine="0"/>
        <w:rPr>
          <w:sz w:val="20"/>
        </w:rPr>
      </w:pPr>
      <w:r>
        <w:rPr>
          <w:sz w:val="20"/>
        </w:rPr>
        <w:t>In order to encourage parties to pay their contributions</w:t>
      </w:r>
      <w:r w:rsidR="001E637A">
        <w:rPr>
          <w:sz w:val="20"/>
        </w:rPr>
        <w:t xml:space="preserve"> to the operational budgets</w:t>
      </w:r>
      <w:r>
        <w:rPr>
          <w:sz w:val="20"/>
        </w:rPr>
        <w:t xml:space="preserve"> as early as possible after the date when the payment is due, a “prompt payment discount method” could be considered. Parties that pay in full by a defined date, i.e. within three months and have no outstanding payment plans w</w:t>
      </w:r>
      <w:r w:rsidR="001E637A">
        <w:rPr>
          <w:sz w:val="20"/>
        </w:rPr>
        <w:t>ould</w:t>
      </w:r>
      <w:r>
        <w:rPr>
          <w:sz w:val="20"/>
        </w:rPr>
        <w:t xml:space="preserve"> receive a discount corresponding to the interest earned between th</w:t>
      </w:r>
      <w:r w:rsidR="00383633">
        <w:rPr>
          <w:sz w:val="20"/>
        </w:rPr>
        <w:t>at</w:t>
      </w:r>
      <w:r>
        <w:rPr>
          <w:sz w:val="20"/>
        </w:rPr>
        <w:t xml:space="preserve"> date and end </w:t>
      </w:r>
      <w:r w:rsidR="00383633">
        <w:rPr>
          <w:sz w:val="20"/>
        </w:rPr>
        <w:t xml:space="preserve">of June. The discount would be based on effective interest earned during </w:t>
      </w:r>
      <w:r w:rsidR="00B71D99">
        <w:rPr>
          <w:sz w:val="20"/>
        </w:rPr>
        <w:t xml:space="preserve">the </w:t>
      </w:r>
      <w:r w:rsidR="00383633">
        <w:rPr>
          <w:sz w:val="20"/>
        </w:rPr>
        <w:t>period and would be deducted from the following year’s contribution.</w:t>
      </w:r>
    </w:p>
    <w:p w:rsidR="00383633" w:rsidRDefault="00970184" w:rsidP="00AC0820">
      <w:pPr>
        <w:numPr>
          <w:ilvl w:val="0"/>
          <w:numId w:val="4"/>
        </w:numPr>
        <w:tabs>
          <w:tab w:val="num" w:pos="567"/>
          <w:tab w:val="left" w:pos="624"/>
          <w:tab w:val="left" w:pos="1871"/>
          <w:tab w:val="left" w:pos="2495"/>
          <w:tab w:val="left" w:pos="3119"/>
          <w:tab w:val="left" w:pos="3742"/>
        </w:tabs>
        <w:spacing w:after="120"/>
        <w:ind w:left="1247" w:firstLine="0"/>
        <w:rPr>
          <w:sz w:val="20"/>
        </w:rPr>
      </w:pPr>
      <w:r>
        <w:rPr>
          <w:sz w:val="20"/>
        </w:rPr>
        <w:t>A “composite approach” takes into account the above method of attracting a rebate for early payment but also introduces a penalty for payments received after a certain date, for example nine months after the date when the contribution is due, this implies that payments received between three months and nine months would receive neither incentive nor penalty.</w:t>
      </w:r>
    </w:p>
    <w:p w:rsidR="00970184" w:rsidRDefault="00DC4DF4" w:rsidP="00DC4DF4">
      <w:pPr>
        <w:numPr>
          <w:ilvl w:val="0"/>
          <w:numId w:val="4"/>
        </w:numPr>
        <w:tabs>
          <w:tab w:val="num" w:pos="567"/>
          <w:tab w:val="left" w:pos="624"/>
          <w:tab w:val="left" w:pos="1871"/>
          <w:tab w:val="left" w:pos="2495"/>
          <w:tab w:val="left" w:pos="3119"/>
          <w:tab w:val="left" w:pos="3742"/>
        </w:tabs>
        <w:spacing w:after="120"/>
        <w:ind w:left="1247" w:firstLine="0"/>
        <w:rPr>
          <w:sz w:val="20"/>
        </w:rPr>
      </w:pPr>
      <w:r>
        <w:rPr>
          <w:sz w:val="20"/>
        </w:rPr>
        <w:t>Other additional measures for consideration may include the following:</w:t>
      </w:r>
    </w:p>
    <w:p w:rsidR="00467DFC" w:rsidRDefault="00373BA3">
      <w:pPr>
        <w:tabs>
          <w:tab w:val="num" w:pos="567"/>
          <w:tab w:val="left" w:pos="624"/>
          <w:tab w:val="left" w:pos="2495"/>
          <w:tab w:val="left" w:pos="3119"/>
          <w:tab w:val="left" w:pos="3742"/>
        </w:tabs>
        <w:spacing w:after="120"/>
        <w:ind w:left="1276" w:firstLine="595"/>
        <w:rPr>
          <w:sz w:val="20"/>
        </w:rPr>
      </w:pPr>
      <w:r>
        <w:rPr>
          <w:sz w:val="20"/>
        </w:rPr>
        <w:t>(</w:t>
      </w:r>
      <w:r w:rsidR="00DC4DF4">
        <w:rPr>
          <w:sz w:val="20"/>
        </w:rPr>
        <w:t xml:space="preserve">a) </w:t>
      </w:r>
      <w:r w:rsidR="001B611C">
        <w:rPr>
          <w:sz w:val="20"/>
        </w:rPr>
        <w:tab/>
      </w:r>
      <w:r w:rsidR="00DC4DF4">
        <w:rPr>
          <w:sz w:val="20"/>
        </w:rPr>
        <w:t>The conferences of the parties may decide that parties with arrears of one year or more would be declared ineligible:</w:t>
      </w:r>
    </w:p>
    <w:p w:rsidR="00467DFC" w:rsidRDefault="001B611C" w:rsidP="001B611C">
      <w:pPr>
        <w:spacing w:after="120"/>
        <w:ind w:left="1872" w:firstLine="624"/>
        <w:rPr>
          <w:sz w:val="20"/>
        </w:rPr>
      </w:pPr>
      <w:r>
        <w:rPr>
          <w:sz w:val="20"/>
        </w:rPr>
        <w:t>(</w:t>
      </w:r>
      <w:proofErr w:type="spellStart"/>
      <w:r>
        <w:rPr>
          <w:sz w:val="20"/>
        </w:rPr>
        <w:t>i</w:t>
      </w:r>
      <w:proofErr w:type="spellEnd"/>
      <w:r>
        <w:rPr>
          <w:sz w:val="20"/>
        </w:rPr>
        <w:t>)</w:t>
      </w:r>
      <w:r>
        <w:rPr>
          <w:sz w:val="20"/>
        </w:rPr>
        <w:tab/>
      </w:r>
      <w:r w:rsidR="00ED4D11">
        <w:rPr>
          <w:sz w:val="20"/>
        </w:rPr>
        <w:t>T</w:t>
      </w:r>
      <w:r w:rsidR="00DC4DF4">
        <w:rPr>
          <w:sz w:val="20"/>
        </w:rPr>
        <w:t xml:space="preserve">o host a </w:t>
      </w:r>
      <w:r w:rsidR="003E34DC">
        <w:rPr>
          <w:sz w:val="20"/>
        </w:rPr>
        <w:t xml:space="preserve">meeting </w:t>
      </w:r>
      <w:r w:rsidR="00DC4DF4">
        <w:rPr>
          <w:sz w:val="20"/>
        </w:rPr>
        <w:t xml:space="preserve">of the conferences of the parties or its </w:t>
      </w:r>
      <w:r w:rsidR="003349E1">
        <w:rPr>
          <w:sz w:val="20"/>
        </w:rPr>
        <w:t>subsidiary</w:t>
      </w:r>
      <w:r w:rsidR="00DC4DF4">
        <w:rPr>
          <w:sz w:val="20"/>
        </w:rPr>
        <w:t xml:space="preserve"> bodies</w:t>
      </w:r>
      <w:r w:rsidR="003349E1">
        <w:rPr>
          <w:sz w:val="20"/>
        </w:rPr>
        <w:t>;</w:t>
      </w:r>
    </w:p>
    <w:p w:rsidR="00467DFC" w:rsidRDefault="001B611C" w:rsidP="001B611C">
      <w:pPr>
        <w:spacing w:after="120"/>
        <w:ind w:left="3120" w:hanging="624"/>
        <w:rPr>
          <w:sz w:val="20"/>
        </w:rPr>
      </w:pPr>
      <w:r>
        <w:rPr>
          <w:sz w:val="20"/>
        </w:rPr>
        <w:t>(ii)</w:t>
      </w:r>
      <w:r>
        <w:rPr>
          <w:sz w:val="20"/>
        </w:rPr>
        <w:tab/>
      </w:r>
      <w:r w:rsidR="00ED4D11" w:rsidRPr="00AC0820">
        <w:rPr>
          <w:sz w:val="20"/>
        </w:rPr>
        <w:t>F</w:t>
      </w:r>
      <w:r w:rsidR="00DC4DF4" w:rsidRPr="00AC0820">
        <w:rPr>
          <w:sz w:val="20"/>
        </w:rPr>
        <w:t xml:space="preserve">or </w:t>
      </w:r>
      <w:r w:rsidR="003E34DC">
        <w:rPr>
          <w:sz w:val="20"/>
        </w:rPr>
        <w:t xml:space="preserve">financial </w:t>
      </w:r>
      <w:r w:rsidR="00DC4DF4" w:rsidRPr="00AC0820">
        <w:rPr>
          <w:sz w:val="20"/>
        </w:rPr>
        <w:t xml:space="preserve">support to attend intersessional workshops and other </w:t>
      </w:r>
      <w:r w:rsidR="003349E1" w:rsidRPr="00AC0820">
        <w:rPr>
          <w:sz w:val="20"/>
        </w:rPr>
        <w:t>informal meetings;</w:t>
      </w:r>
    </w:p>
    <w:p w:rsidR="00467DFC" w:rsidRDefault="001B611C" w:rsidP="001B611C">
      <w:pPr>
        <w:spacing w:after="120"/>
        <w:ind w:left="1872" w:firstLine="624"/>
        <w:rPr>
          <w:sz w:val="20"/>
        </w:rPr>
      </w:pPr>
      <w:r>
        <w:rPr>
          <w:sz w:val="20"/>
        </w:rPr>
        <w:t>(iii)</w:t>
      </w:r>
      <w:r>
        <w:rPr>
          <w:sz w:val="20"/>
        </w:rPr>
        <w:tab/>
      </w:r>
      <w:r w:rsidR="00ED4D11" w:rsidRPr="00AC0820">
        <w:rPr>
          <w:sz w:val="20"/>
        </w:rPr>
        <w:t>F</w:t>
      </w:r>
      <w:r w:rsidR="003349E1" w:rsidRPr="00AC0820">
        <w:rPr>
          <w:sz w:val="20"/>
        </w:rPr>
        <w:t xml:space="preserve">or invitation to </w:t>
      </w:r>
      <w:proofErr w:type="spellStart"/>
      <w:r w:rsidR="003349E1" w:rsidRPr="00AC0820">
        <w:rPr>
          <w:sz w:val="20"/>
        </w:rPr>
        <w:t>intersessional</w:t>
      </w:r>
      <w:proofErr w:type="spellEnd"/>
      <w:r w:rsidR="003349E1" w:rsidRPr="00AC0820">
        <w:rPr>
          <w:sz w:val="20"/>
        </w:rPr>
        <w:t xml:space="preserve"> workshops and other informal meetings</w:t>
      </w:r>
      <w:r w:rsidR="00E67BBC">
        <w:rPr>
          <w:sz w:val="20"/>
        </w:rPr>
        <w:t>;</w:t>
      </w:r>
    </w:p>
    <w:p w:rsidR="00A409C1" w:rsidRDefault="001B611C" w:rsidP="001B611C">
      <w:pPr>
        <w:spacing w:after="120"/>
        <w:ind w:left="1872" w:firstLine="624"/>
        <w:rPr>
          <w:sz w:val="20"/>
        </w:rPr>
      </w:pPr>
      <w:proofErr w:type="gramStart"/>
      <w:r>
        <w:rPr>
          <w:sz w:val="20"/>
        </w:rPr>
        <w:t>(iv)</w:t>
      </w:r>
      <w:r>
        <w:rPr>
          <w:sz w:val="20"/>
        </w:rPr>
        <w:tab/>
      </w:r>
      <w:r w:rsidR="00A409C1" w:rsidRPr="00A409C1">
        <w:rPr>
          <w:sz w:val="20"/>
        </w:rPr>
        <w:t>To</w:t>
      </w:r>
      <w:proofErr w:type="gramEnd"/>
      <w:r w:rsidR="00A409C1" w:rsidRPr="00A409C1">
        <w:rPr>
          <w:sz w:val="20"/>
        </w:rPr>
        <w:t xml:space="preserve"> participate in meetings of the COPs or its subsidiary bodies. </w:t>
      </w:r>
    </w:p>
    <w:p w:rsidR="00467DFC" w:rsidRDefault="00373BA3" w:rsidP="00647C28">
      <w:pPr>
        <w:tabs>
          <w:tab w:val="num" w:pos="567"/>
          <w:tab w:val="left" w:pos="624"/>
          <w:tab w:val="left" w:pos="2495"/>
          <w:tab w:val="left" w:pos="3119"/>
          <w:tab w:val="left" w:pos="3742"/>
        </w:tabs>
        <w:spacing w:after="120"/>
        <w:ind w:left="1276" w:firstLine="595"/>
        <w:rPr>
          <w:sz w:val="20"/>
        </w:rPr>
      </w:pPr>
      <w:r>
        <w:rPr>
          <w:sz w:val="20"/>
        </w:rPr>
        <w:t>(</w:t>
      </w:r>
      <w:r w:rsidR="009F5E4E">
        <w:rPr>
          <w:sz w:val="20"/>
        </w:rPr>
        <w:t xml:space="preserve">b) </w:t>
      </w:r>
      <w:r w:rsidR="001B611C">
        <w:rPr>
          <w:sz w:val="20"/>
        </w:rPr>
        <w:tab/>
      </w:r>
      <w:r w:rsidR="003349E1">
        <w:rPr>
          <w:sz w:val="20"/>
        </w:rPr>
        <w:t xml:space="preserve">Withdrawing financial support from those </w:t>
      </w:r>
      <w:r w:rsidR="00F60938">
        <w:rPr>
          <w:sz w:val="20"/>
        </w:rPr>
        <w:t>p</w:t>
      </w:r>
      <w:r w:rsidR="003349E1">
        <w:rPr>
          <w:sz w:val="20"/>
        </w:rPr>
        <w:t>arties which are not least developed count</w:t>
      </w:r>
      <w:r w:rsidR="00024948">
        <w:rPr>
          <w:sz w:val="20"/>
        </w:rPr>
        <w:t>r</w:t>
      </w:r>
      <w:r w:rsidR="003349E1">
        <w:rPr>
          <w:sz w:val="20"/>
        </w:rPr>
        <w:t xml:space="preserve">ies or </w:t>
      </w:r>
      <w:r w:rsidR="00B71D99">
        <w:rPr>
          <w:sz w:val="20"/>
        </w:rPr>
        <w:t>s</w:t>
      </w:r>
      <w:r w:rsidR="009F5E4E">
        <w:rPr>
          <w:sz w:val="20"/>
        </w:rPr>
        <w:t xml:space="preserve">mall </w:t>
      </w:r>
      <w:r w:rsidR="00B71D99">
        <w:rPr>
          <w:sz w:val="20"/>
        </w:rPr>
        <w:t>i</w:t>
      </w:r>
      <w:r w:rsidR="009F5E4E">
        <w:rPr>
          <w:sz w:val="20"/>
        </w:rPr>
        <w:t>sland</w:t>
      </w:r>
      <w:r w:rsidR="003349E1">
        <w:rPr>
          <w:sz w:val="20"/>
        </w:rPr>
        <w:t xml:space="preserve"> developing count</w:t>
      </w:r>
      <w:r w:rsidR="000E71BC">
        <w:rPr>
          <w:sz w:val="20"/>
        </w:rPr>
        <w:t>r</w:t>
      </w:r>
      <w:r w:rsidR="003349E1">
        <w:rPr>
          <w:sz w:val="20"/>
        </w:rPr>
        <w:t>ies, which normally would be eligible for financial support to participate in the meetings of the conferences of the parties and its subsidiary bodies, and which have been in arrears for more than one year</w:t>
      </w:r>
      <w:r w:rsidR="00647C28">
        <w:rPr>
          <w:sz w:val="20"/>
        </w:rPr>
        <w:t>;</w:t>
      </w:r>
    </w:p>
    <w:p w:rsidR="00467DFC" w:rsidRDefault="00373BA3" w:rsidP="00647C28">
      <w:pPr>
        <w:tabs>
          <w:tab w:val="num" w:pos="567"/>
          <w:tab w:val="left" w:pos="624"/>
          <w:tab w:val="left" w:pos="2495"/>
          <w:tab w:val="left" w:pos="3119"/>
          <w:tab w:val="left" w:pos="3742"/>
        </w:tabs>
        <w:spacing w:after="120"/>
        <w:ind w:left="1276" w:firstLine="595"/>
        <w:rPr>
          <w:sz w:val="20"/>
        </w:rPr>
      </w:pPr>
      <w:r>
        <w:rPr>
          <w:sz w:val="20"/>
        </w:rPr>
        <w:t>(</w:t>
      </w:r>
      <w:r w:rsidR="009F5E4E">
        <w:rPr>
          <w:sz w:val="20"/>
        </w:rPr>
        <w:t xml:space="preserve">c) </w:t>
      </w:r>
      <w:r w:rsidR="001B611C">
        <w:rPr>
          <w:sz w:val="20"/>
        </w:rPr>
        <w:tab/>
      </w:r>
      <w:r w:rsidR="000C0493">
        <w:rPr>
          <w:sz w:val="20"/>
        </w:rPr>
        <w:t>Limit the number of participants who could be invited to attend meetings, to only one, from parties whose contributions are in arrears</w:t>
      </w:r>
      <w:r w:rsidR="00647C28">
        <w:rPr>
          <w:sz w:val="20"/>
        </w:rPr>
        <w:t>;</w:t>
      </w:r>
    </w:p>
    <w:p w:rsidR="00467DFC" w:rsidRDefault="00E67BBC">
      <w:pPr>
        <w:tabs>
          <w:tab w:val="num" w:pos="567"/>
          <w:tab w:val="left" w:pos="624"/>
          <w:tab w:val="left" w:pos="2495"/>
          <w:tab w:val="left" w:pos="3119"/>
          <w:tab w:val="left" w:pos="3742"/>
        </w:tabs>
        <w:spacing w:after="120"/>
        <w:ind w:left="1276" w:firstLine="595"/>
        <w:rPr>
          <w:sz w:val="20"/>
        </w:rPr>
      </w:pPr>
      <w:r w:rsidDel="00E67BBC">
        <w:rPr>
          <w:sz w:val="20"/>
        </w:rPr>
        <w:t xml:space="preserve"> </w:t>
      </w:r>
      <w:r w:rsidR="00373BA3">
        <w:rPr>
          <w:sz w:val="20"/>
        </w:rPr>
        <w:t>(</w:t>
      </w:r>
      <w:r>
        <w:rPr>
          <w:sz w:val="20"/>
        </w:rPr>
        <w:t>d</w:t>
      </w:r>
      <w:r w:rsidR="008014BB">
        <w:rPr>
          <w:sz w:val="20"/>
        </w:rPr>
        <w:t xml:space="preserve">) </w:t>
      </w:r>
      <w:r w:rsidR="001B611C">
        <w:rPr>
          <w:sz w:val="20"/>
        </w:rPr>
        <w:tab/>
      </w:r>
      <w:r w:rsidR="008014BB">
        <w:rPr>
          <w:sz w:val="20"/>
        </w:rPr>
        <w:t>Organize regional</w:t>
      </w:r>
      <w:r w:rsidR="003E34DC">
        <w:rPr>
          <w:sz w:val="20"/>
        </w:rPr>
        <w:t>ly-based</w:t>
      </w:r>
      <w:r w:rsidR="008014BB">
        <w:rPr>
          <w:sz w:val="20"/>
        </w:rPr>
        <w:t xml:space="preserve"> sessions at the meetings of the conferences of the parties awarding the part</w:t>
      </w:r>
      <w:r w:rsidR="00681BA8">
        <w:rPr>
          <w:sz w:val="20"/>
        </w:rPr>
        <w:t>ies</w:t>
      </w:r>
      <w:r w:rsidR="008014BB">
        <w:rPr>
          <w:sz w:val="20"/>
        </w:rPr>
        <w:t xml:space="preserve"> who paid the</w:t>
      </w:r>
      <w:r w:rsidR="00681BA8">
        <w:rPr>
          <w:sz w:val="20"/>
        </w:rPr>
        <w:t>i</w:t>
      </w:r>
      <w:r w:rsidR="008014BB">
        <w:rPr>
          <w:sz w:val="20"/>
        </w:rPr>
        <w:t>r arrears fully or partially the last two years</w:t>
      </w:r>
      <w:r w:rsidR="00E2671E">
        <w:rPr>
          <w:sz w:val="20"/>
        </w:rPr>
        <w:t xml:space="preserve"> with official recognition</w:t>
      </w:r>
      <w:r w:rsidR="008014BB">
        <w:rPr>
          <w:sz w:val="20"/>
        </w:rPr>
        <w:t>.</w:t>
      </w:r>
    </w:p>
    <w:p w:rsidR="00CD20A4" w:rsidRDefault="00CD20A4" w:rsidP="00600A09">
      <w:pPr>
        <w:numPr>
          <w:ilvl w:val="0"/>
          <w:numId w:val="4"/>
        </w:numPr>
        <w:tabs>
          <w:tab w:val="num" w:pos="567"/>
          <w:tab w:val="left" w:pos="624"/>
          <w:tab w:val="left" w:pos="1871"/>
          <w:tab w:val="left" w:pos="2495"/>
          <w:tab w:val="left" w:pos="3119"/>
          <w:tab w:val="left" w:pos="3742"/>
        </w:tabs>
        <w:spacing w:after="120"/>
        <w:ind w:left="1247" w:firstLine="0"/>
        <w:rPr>
          <w:sz w:val="20"/>
        </w:rPr>
      </w:pPr>
      <w:r w:rsidRPr="00CD20A4">
        <w:rPr>
          <w:sz w:val="20"/>
        </w:rPr>
        <w:t>With the introduction of International Public Sector Accounting Standards (IPSAS), as of 1</w:t>
      </w:r>
      <w:r w:rsidR="00600A09">
        <w:rPr>
          <w:sz w:val="20"/>
        </w:rPr>
        <w:t> </w:t>
      </w:r>
      <w:r w:rsidRPr="00CD20A4">
        <w:rPr>
          <w:sz w:val="20"/>
        </w:rPr>
        <w:t>January 2014, the issue of late and non-payment</w:t>
      </w:r>
      <w:r>
        <w:rPr>
          <w:sz w:val="20"/>
        </w:rPr>
        <w:t xml:space="preserve"> </w:t>
      </w:r>
      <w:r w:rsidR="003E612F">
        <w:rPr>
          <w:sz w:val="20"/>
        </w:rPr>
        <w:t xml:space="preserve">and </w:t>
      </w:r>
      <w:r>
        <w:rPr>
          <w:sz w:val="20"/>
        </w:rPr>
        <w:t xml:space="preserve">write-off policy </w:t>
      </w:r>
      <w:r w:rsidRPr="00890879">
        <w:rPr>
          <w:sz w:val="20"/>
        </w:rPr>
        <w:t xml:space="preserve">for contributions </w:t>
      </w:r>
      <w:r w:rsidR="00681BA8">
        <w:rPr>
          <w:sz w:val="20"/>
        </w:rPr>
        <w:t xml:space="preserve">to the operational budgets </w:t>
      </w:r>
      <w:r w:rsidRPr="00890879">
        <w:rPr>
          <w:sz w:val="20"/>
        </w:rPr>
        <w:t xml:space="preserve">has been raised by </w:t>
      </w:r>
      <w:r w:rsidR="00890879" w:rsidRPr="00890879">
        <w:rPr>
          <w:sz w:val="20"/>
        </w:rPr>
        <w:t>the United Nations Environment Programme</w:t>
      </w:r>
      <w:r w:rsidRPr="00890879">
        <w:rPr>
          <w:sz w:val="20"/>
        </w:rPr>
        <w:t xml:space="preserve">. Under IPSAS, </w:t>
      </w:r>
      <w:r w:rsidRPr="00890879">
        <w:rPr>
          <w:sz w:val="20"/>
        </w:rPr>
        <w:lastRenderedPageBreak/>
        <w:t>long-standing arrears will be counted</w:t>
      </w:r>
      <w:r w:rsidRPr="00CD20A4">
        <w:rPr>
          <w:sz w:val="20"/>
        </w:rPr>
        <w:t xml:space="preserve"> as doubtful debts, and provisions will be made in the accounts to cover the amounts from the reserve, and thereby reducing the amount available for use by parties</w:t>
      </w:r>
      <w:r>
        <w:rPr>
          <w:sz w:val="20"/>
        </w:rPr>
        <w:t>.</w:t>
      </w:r>
    </w:p>
    <w:p w:rsidR="00CD20A4" w:rsidRDefault="00ED4D11" w:rsidP="00600A09">
      <w:pPr>
        <w:numPr>
          <w:ilvl w:val="0"/>
          <w:numId w:val="4"/>
        </w:numPr>
        <w:tabs>
          <w:tab w:val="num" w:pos="567"/>
          <w:tab w:val="left" w:pos="624"/>
          <w:tab w:val="left" w:pos="1871"/>
          <w:tab w:val="left" w:pos="2495"/>
          <w:tab w:val="left" w:pos="3119"/>
          <w:tab w:val="left" w:pos="3742"/>
        </w:tabs>
        <w:spacing w:after="120"/>
        <w:ind w:left="1247" w:firstLine="0"/>
        <w:rPr>
          <w:sz w:val="20"/>
        </w:rPr>
      </w:pPr>
      <w:r>
        <w:rPr>
          <w:sz w:val="20"/>
        </w:rPr>
        <w:t>As per the first IPSAS-compliant financial statement, for the fiscal year 1 January 2014 to 31</w:t>
      </w:r>
      <w:r w:rsidR="00600A09">
        <w:rPr>
          <w:sz w:val="20"/>
        </w:rPr>
        <w:t> </w:t>
      </w:r>
      <w:r>
        <w:rPr>
          <w:sz w:val="20"/>
        </w:rPr>
        <w:t>December 2014, the opening provision against old outstanding contributions as at 1 January 2014 are as follows which needs to be taken into consideration:</w:t>
      </w:r>
    </w:p>
    <w:p w:rsidR="00ED4D11" w:rsidRDefault="000C4F8C" w:rsidP="000C4F8C">
      <w:pPr>
        <w:tabs>
          <w:tab w:val="num" w:pos="567"/>
          <w:tab w:val="left" w:pos="624"/>
          <w:tab w:val="left" w:pos="2495"/>
          <w:tab w:val="left" w:pos="3119"/>
          <w:tab w:val="left" w:pos="3742"/>
        </w:tabs>
        <w:spacing w:after="120"/>
        <w:ind w:left="1276" w:firstLine="595"/>
        <w:rPr>
          <w:sz w:val="20"/>
        </w:rPr>
      </w:pPr>
      <w:r>
        <w:rPr>
          <w:sz w:val="20"/>
        </w:rPr>
        <w:t>(a)</w:t>
      </w:r>
      <w:r>
        <w:rPr>
          <w:sz w:val="20"/>
        </w:rPr>
        <w:tab/>
      </w:r>
      <w:r w:rsidR="00ED4D11">
        <w:rPr>
          <w:sz w:val="20"/>
        </w:rPr>
        <w:t>Basel Convention (BCL trust fund): US$ 155,619</w:t>
      </w:r>
      <w:r w:rsidR="001B611C">
        <w:rPr>
          <w:sz w:val="20"/>
        </w:rPr>
        <w:t>;</w:t>
      </w:r>
    </w:p>
    <w:p w:rsidR="00ED4D11" w:rsidRDefault="00ED4D11" w:rsidP="00ED4D11">
      <w:pPr>
        <w:tabs>
          <w:tab w:val="num" w:pos="567"/>
          <w:tab w:val="left" w:pos="624"/>
          <w:tab w:val="left" w:pos="1871"/>
          <w:tab w:val="left" w:pos="2495"/>
          <w:tab w:val="left" w:pos="3119"/>
          <w:tab w:val="left" w:pos="3742"/>
        </w:tabs>
        <w:spacing w:after="120"/>
        <w:ind w:left="1247"/>
        <w:rPr>
          <w:sz w:val="20"/>
        </w:rPr>
      </w:pPr>
      <w:r>
        <w:rPr>
          <w:sz w:val="20"/>
        </w:rPr>
        <w:tab/>
      </w:r>
      <w:r w:rsidR="000C4F8C">
        <w:rPr>
          <w:sz w:val="20"/>
        </w:rPr>
        <w:t>(b)</w:t>
      </w:r>
      <w:r w:rsidR="000C4F8C">
        <w:rPr>
          <w:sz w:val="20"/>
        </w:rPr>
        <w:tab/>
      </w:r>
      <w:r>
        <w:rPr>
          <w:sz w:val="20"/>
        </w:rPr>
        <w:t>Rotterdam Convention (ROL trust fund): US$ 154,512</w:t>
      </w:r>
      <w:r w:rsidR="001B611C">
        <w:rPr>
          <w:sz w:val="20"/>
        </w:rPr>
        <w:t>;</w:t>
      </w:r>
    </w:p>
    <w:p w:rsidR="00ED4D11" w:rsidRDefault="00ED4D11" w:rsidP="00ED4D11">
      <w:pPr>
        <w:tabs>
          <w:tab w:val="num" w:pos="567"/>
          <w:tab w:val="left" w:pos="624"/>
          <w:tab w:val="left" w:pos="1871"/>
          <w:tab w:val="left" w:pos="2495"/>
          <w:tab w:val="left" w:pos="3119"/>
          <w:tab w:val="left" w:pos="3742"/>
        </w:tabs>
        <w:spacing w:after="120"/>
        <w:ind w:left="1247"/>
        <w:rPr>
          <w:sz w:val="20"/>
        </w:rPr>
      </w:pPr>
      <w:r>
        <w:rPr>
          <w:sz w:val="20"/>
        </w:rPr>
        <w:tab/>
      </w:r>
      <w:r w:rsidR="000C4F8C">
        <w:rPr>
          <w:sz w:val="20"/>
        </w:rPr>
        <w:t>(c)</w:t>
      </w:r>
      <w:r w:rsidR="000C4F8C">
        <w:rPr>
          <w:sz w:val="20"/>
        </w:rPr>
        <w:tab/>
      </w:r>
      <w:r>
        <w:rPr>
          <w:sz w:val="20"/>
        </w:rPr>
        <w:t>Stockholm Convention (SCL trust fund): US$ 268,953</w:t>
      </w:r>
      <w:r w:rsidR="001B611C">
        <w:rPr>
          <w:sz w:val="20"/>
        </w:rPr>
        <w:t>.</w:t>
      </w:r>
    </w:p>
    <w:p w:rsidR="00B92809" w:rsidRPr="00A656C3" w:rsidRDefault="003361FD" w:rsidP="001B611C">
      <w:pPr>
        <w:numPr>
          <w:ilvl w:val="0"/>
          <w:numId w:val="4"/>
        </w:numPr>
        <w:tabs>
          <w:tab w:val="num" w:pos="567"/>
          <w:tab w:val="left" w:pos="624"/>
          <w:tab w:val="left" w:pos="1871"/>
          <w:tab w:val="left" w:pos="2495"/>
          <w:tab w:val="left" w:pos="3119"/>
          <w:tab w:val="left" w:pos="3742"/>
        </w:tabs>
        <w:spacing w:after="120"/>
        <w:ind w:left="1247" w:firstLine="0"/>
        <w:rPr>
          <w:sz w:val="20"/>
        </w:rPr>
      </w:pPr>
      <w:r w:rsidRPr="00A656C3">
        <w:rPr>
          <w:sz w:val="20"/>
        </w:rPr>
        <w:t>Finally, it should be noted that, under the Basel Convention, measures are included in both the Convention’s financial rules and financing and budget decision</w:t>
      </w:r>
      <w:r w:rsidR="00157C44">
        <w:rPr>
          <w:sz w:val="20"/>
        </w:rPr>
        <w:t>s</w:t>
      </w:r>
      <w:r w:rsidR="001B611C">
        <w:rPr>
          <w:sz w:val="20"/>
        </w:rPr>
        <w:t>,</w:t>
      </w:r>
      <w:r w:rsidR="00A409C1" w:rsidRPr="00A409C1">
        <w:rPr>
          <w:vertAlign w:val="superscript"/>
        </w:rPr>
        <w:footnoteReference w:id="7"/>
      </w:r>
      <w:r w:rsidRPr="00A656C3">
        <w:rPr>
          <w:sz w:val="20"/>
        </w:rPr>
        <w:t xml:space="preserve"> while under the Rotterdam and Stockholm conventions, these are included in their financing and budget decisions only</w:t>
      </w:r>
      <w:r w:rsidR="001B611C">
        <w:rPr>
          <w:sz w:val="20"/>
        </w:rPr>
        <w:t>.</w:t>
      </w:r>
      <w:r w:rsidR="00A409C1" w:rsidRPr="00A409C1">
        <w:rPr>
          <w:vertAlign w:val="superscript"/>
        </w:rPr>
        <w:footnoteReference w:id="8"/>
      </w:r>
      <w:r w:rsidRPr="00A656C3">
        <w:rPr>
          <w:sz w:val="20"/>
        </w:rPr>
        <w:t xml:space="preserve"> Further harmonization of the financial rules of the respective conventions might thus be considered</w:t>
      </w:r>
      <w:r w:rsidR="007B3A01">
        <w:rPr>
          <w:sz w:val="20"/>
        </w:rPr>
        <w:t>.</w:t>
      </w:r>
    </w:p>
    <w:p w:rsidR="004D37D1" w:rsidRPr="006D1B94" w:rsidRDefault="001D0327" w:rsidP="00DB06BD">
      <w:pPr>
        <w:numPr>
          <w:ilvl w:val="0"/>
          <w:numId w:val="4"/>
        </w:numPr>
        <w:tabs>
          <w:tab w:val="num" w:pos="567"/>
          <w:tab w:val="left" w:pos="624"/>
          <w:tab w:val="left" w:pos="1871"/>
          <w:tab w:val="left" w:pos="2495"/>
          <w:tab w:val="left" w:pos="3119"/>
          <w:tab w:val="left" w:pos="3742"/>
        </w:tabs>
        <w:spacing w:after="120"/>
        <w:ind w:left="1247" w:firstLine="0"/>
        <w:rPr>
          <w:bCs/>
          <w:sz w:val="20"/>
          <w:lang w:val="en-US"/>
        </w:rPr>
      </w:pPr>
      <w:r w:rsidRPr="002815CF">
        <w:rPr>
          <w:sz w:val="20"/>
        </w:rPr>
        <w:t>The present note, including its annex</w:t>
      </w:r>
      <w:r w:rsidR="00291493">
        <w:rPr>
          <w:sz w:val="20"/>
        </w:rPr>
        <w:t>es</w:t>
      </w:r>
      <w:r w:rsidRPr="002815CF">
        <w:rPr>
          <w:sz w:val="20"/>
        </w:rPr>
        <w:t>, has not been formally</w:t>
      </w:r>
      <w:r w:rsidR="0058064B" w:rsidRPr="002815CF">
        <w:rPr>
          <w:sz w:val="20"/>
        </w:rPr>
        <w:t xml:space="preserve"> edited</w:t>
      </w:r>
      <w:r w:rsidR="00DB06BD" w:rsidRPr="002815CF">
        <w:rPr>
          <w:sz w:val="20"/>
        </w:rPr>
        <w:t>.</w:t>
      </w:r>
      <w:r w:rsidR="002E19C7">
        <w:rPr>
          <w:sz w:val="20"/>
        </w:rPr>
        <w:t xml:space="preserve"> </w:t>
      </w:r>
    </w:p>
    <w:p w:rsidR="006D1B94" w:rsidRDefault="006D1B94" w:rsidP="006D1B94">
      <w:pPr>
        <w:tabs>
          <w:tab w:val="num" w:pos="567"/>
          <w:tab w:val="left" w:pos="624"/>
          <w:tab w:val="left" w:pos="1871"/>
          <w:tab w:val="left" w:pos="2495"/>
          <w:tab w:val="left" w:pos="3119"/>
          <w:tab w:val="left" w:pos="3742"/>
        </w:tabs>
        <w:spacing w:after="120"/>
        <w:rPr>
          <w:sz w:val="20"/>
        </w:rPr>
      </w:pPr>
    </w:p>
    <w:p w:rsidR="0039619F" w:rsidRPr="00E67BBC" w:rsidRDefault="0039619F" w:rsidP="0039619F">
      <w:pPr>
        <w:pStyle w:val="ZZAnxheader"/>
        <w:spacing w:line="220" w:lineRule="exact"/>
        <w:rPr>
          <w:lang w:val="en-GB"/>
        </w:rPr>
        <w:sectPr w:rsidR="0039619F" w:rsidRPr="00E67BBC" w:rsidSect="00647C28">
          <w:headerReference w:type="even" r:id="rId13"/>
          <w:headerReference w:type="default" r:id="rId14"/>
          <w:footerReference w:type="even" r:id="rId15"/>
          <w:footerReference w:type="default" r:id="rId16"/>
          <w:footerReference w:type="first" r:id="rId17"/>
          <w:footnotePr>
            <w:numRestart w:val="eachSect"/>
          </w:footnotePr>
          <w:pgSz w:w="11906" w:h="16838" w:code="9"/>
          <w:pgMar w:top="907" w:right="992" w:bottom="1418" w:left="1418" w:header="539" w:footer="975" w:gutter="0"/>
          <w:cols w:space="708"/>
          <w:titlePg/>
          <w:docGrid w:linePitch="360"/>
        </w:sectPr>
      </w:pPr>
    </w:p>
    <w:p w:rsidR="0039619F" w:rsidRPr="00434C8E" w:rsidRDefault="0039619F" w:rsidP="0039619F">
      <w:pPr>
        <w:pStyle w:val="ZZAnxheader"/>
        <w:spacing w:line="220" w:lineRule="exact"/>
        <w:rPr>
          <w:lang w:val="en-GB"/>
        </w:rPr>
      </w:pPr>
      <w:r w:rsidRPr="00434C8E">
        <w:rPr>
          <w:lang w:val="en-GB"/>
        </w:rPr>
        <w:lastRenderedPageBreak/>
        <w:t>Annex</w:t>
      </w:r>
      <w:r>
        <w:rPr>
          <w:lang w:val="en-GB"/>
        </w:rPr>
        <w:t xml:space="preserve"> I</w:t>
      </w:r>
    </w:p>
    <w:p w:rsidR="0039619F" w:rsidRDefault="0039619F" w:rsidP="0039619F">
      <w:pPr>
        <w:pStyle w:val="ZZAnxtitle"/>
        <w:rPr>
          <w:lang w:val="en-GB"/>
        </w:rPr>
      </w:pPr>
      <w:r>
        <w:rPr>
          <w:lang w:val="en-GB"/>
        </w:rPr>
        <w:t xml:space="preserve">Information on practices of other multilateral environmental </w:t>
      </w:r>
      <w:r w:rsidR="004B61C7">
        <w:rPr>
          <w:lang w:val="en-GB"/>
        </w:rPr>
        <w:t xml:space="preserve">agreements </w:t>
      </w:r>
      <w:r>
        <w:rPr>
          <w:lang w:val="en-GB"/>
        </w:rPr>
        <w:t>related to the payment of assessed contributions</w:t>
      </w:r>
    </w:p>
    <w:tbl>
      <w:tblPr>
        <w:tblW w:w="15310" w:type="dxa"/>
        <w:tblInd w:w="-318" w:type="dxa"/>
        <w:tblLayout w:type="fixed"/>
        <w:tblLook w:val="04A0"/>
      </w:tblPr>
      <w:tblGrid>
        <w:gridCol w:w="1419"/>
        <w:gridCol w:w="1984"/>
        <w:gridCol w:w="1701"/>
        <w:gridCol w:w="1418"/>
        <w:gridCol w:w="992"/>
        <w:gridCol w:w="850"/>
        <w:gridCol w:w="1560"/>
        <w:gridCol w:w="1417"/>
        <w:gridCol w:w="2126"/>
        <w:gridCol w:w="1843"/>
      </w:tblGrid>
      <w:tr w:rsidR="0039619F" w:rsidRPr="006E367C" w:rsidTr="00477116">
        <w:trPr>
          <w:cantSplit/>
          <w:trHeight w:val="1875"/>
          <w:tblHeader/>
        </w:trPr>
        <w:tc>
          <w:tcPr>
            <w:tcW w:w="1419" w:type="dxa"/>
            <w:tcBorders>
              <w:top w:val="single" w:sz="4" w:space="0" w:color="auto"/>
              <w:left w:val="single" w:sz="4" w:space="0" w:color="auto"/>
              <w:bottom w:val="single" w:sz="4" w:space="0" w:color="auto"/>
              <w:right w:val="single" w:sz="4" w:space="0" w:color="auto"/>
            </w:tcBorders>
            <w:shd w:val="clear" w:color="auto" w:fill="F2F2F2"/>
            <w:noWrap/>
            <w:hideMark/>
          </w:tcPr>
          <w:p w:rsidR="00467DFC" w:rsidRDefault="00557707">
            <w:pPr>
              <w:ind w:right="-108"/>
              <w:rPr>
                <w:b/>
                <w:bCs/>
                <w:color w:val="000000"/>
                <w:sz w:val="20"/>
                <w:lang w:eastAsia="en-GB"/>
              </w:rPr>
            </w:pPr>
            <w:r>
              <w:rPr>
                <w:b/>
                <w:bCs/>
                <w:color w:val="000000"/>
                <w:sz w:val="20"/>
                <w:lang w:eastAsia="en-GB"/>
              </w:rPr>
              <w:t>Multilateral environmental agreements</w:t>
            </w:r>
          </w:p>
        </w:tc>
        <w:tc>
          <w:tcPr>
            <w:tcW w:w="1984" w:type="dxa"/>
            <w:tcBorders>
              <w:top w:val="single" w:sz="4" w:space="0" w:color="auto"/>
              <w:left w:val="nil"/>
              <w:bottom w:val="single" w:sz="4" w:space="0" w:color="auto"/>
              <w:right w:val="single" w:sz="4" w:space="0" w:color="auto"/>
            </w:tcBorders>
            <w:shd w:val="clear" w:color="auto" w:fill="F2F2F2"/>
            <w:hideMark/>
          </w:tcPr>
          <w:p w:rsidR="00467DFC" w:rsidRDefault="0039619F">
            <w:pPr>
              <w:ind w:right="-108"/>
              <w:rPr>
                <w:b/>
                <w:bCs/>
                <w:color w:val="000000"/>
                <w:sz w:val="20"/>
                <w:lang w:eastAsia="en-GB"/>
              </w:rPr>
            </w:pPr>
            <w:r w:rsidRPr="006E367C">
              <w:rPr>
                <w:b/>
                <w:bCs/>
                <w:color w:val="000000"/>
                <w:sz w:val="20"/>
                <w:lang w:eastAsia="en-GB"/>
              </w:rPr>
              <w:t xml:space="preserve">Basel, Rotterdam and Stockholm </w:t>
            </w:r>
            <w:r w:rsidR="00B71D99">
              <w:rPr>
                <w:b/>
                <w:bCs/>
                <w:color w:val="000000"/>
                <w:sz w:val="20"/>
                <w:lang w:eastAsia="en-GB"/>
              </w:rPr>
              <w:t>c</w:t>
            </w:r>
            <w:r w:rsidRPr="006E367C">
              <w:rPr>
                <w:b/>
                <w:bCs/>
                <w:color w:val="000000"/>
                <w:sz w:val="20"/>
                <w:lang w:eastAsia="en-GB"/>
              </w:rPr>
              <w:t>onvention</w:t>
            </w:r>
            <w:r w:rsidR="00B71D99">
              <w:rPr>
                <w:b/>
                <w:bCs/>
                <w:color w:val="000000"/>
                <w:sz w:val="20"/>
                <w:lang w:eastAsia="en-GB"/>
              </w:rPr>
              <w:t>s</w:t>
            </w:r>
            <w:r w:rsidRPr="006E367C">
              <w:rPr>
                <w:b/>
                <w:bCs/>
                <w:color w:val="000000"/>
                <w:sz w:val="20"/>
                <w:lang w:eastAsia="en-GB"/>
              </w:rPr>
              <w:t xml:space="preserve"> (BRS)</w:t>
            </w:r>
          </w:p>
        </w:tc>
        <w:tc>
          <w:tcPr>
            <w:tcW w:w="1701" w:type="dxa"/>
            <w:tcBorders>
              <w:top w:val="single" w:sz="4" w:space="0" w:color="auto"/>
              <w:left w:val="nil"/>
              <w:bottom w:val="single" w:sz="4" w:space="0" w:color="auto"/>
              <w:right w:val="single" w:sz="4" w:space="0" w:color="auto"/>
            </w:tcBorders>
            <w:shd w:val="clear" w:color="auto" w:fill="F2F2F2"/>
            <w:hideMark/>
          </w:tcPr>
          <w:p w:rsidR="00467DFC" w:rsidRDefault="0039619F">
            <w:pPr>
              <w:rPr>
                <w:b/>
                <w:bCs/>
                <w:color w:val="000000"/>
                <w:sz w:val="20"/>
                <w:lang w:eastAsia="en-GB"/>
              </w:rPr>
            </w:pPr>
            <w:r w:rsidRPr="006E367C">
              <w:rPr>
                <w:b/>
                <w:bCs/>
                <w:color w:val="000000"/>
                <w:sz w:val="20"/>
                <w:lang w:eastAsia="en-GB"/>
              </w:rPr>
              <w:t>Convention on Biological Diversity (CBD)</w:t>
            </w:r>
          </w:p>
        </w:tc>
        <w:tc>
          <w:tcPr>
            <w:tcW w:w="1418" w:type="dxa"/>
            <w:tcBorders>
              <w:top w:val="single" w:sz="4" w:space="0" w:color="auto"/>
              <w:left w:val="nil"/>
              <w:bottom w:val="single" w:sz="4" w:space="0" w:color="auto"/>
              <w:right w:val="single" w:sz="4" w:space="0" w:color="auto"/>
            </w:tcBorders>
            <w:shd w:val="clear" w:color="auto" w:fill="F2F2F2"/>
            <w:hideMark/>
          </w:tcPr>
          <w:p w:rsidR="00467DFC" w:rsidRDefault="0039619F">
            <w:pPr>
              <w:rPr>
                <w:b/>
                <w:bCs/>
                <w:color w:val="000000"/>
                <w:sz w:val="20"/>
                <w:lang w:eastAsia="en-GB"/>
              </w:rPr>
            </w:pPr>
            <w:r w:rsidRPr="006E367C">
              <w:rPr>
                <w:b/>
                <w:bCs/>
                <w:color w:val="000000"/>
                <w:sz w:val="20"/>
                <w:lang w:eastAsia="en-GB"/>
              </w:rPr>
              <w:t>Convention on Migratory Species (CMS)</w:t>
            </w:r>
          </w:p>
        </w:tc>
        <w:tc>
          <w:tcPr>
            <w:tcW w:w="992" w:type="dxa"/>
            <w:tcBorders>
              <w:top w:val="single" w:sz="4" w:space="0" w:color="auto"/>
              <w:left w:val="nil"/>
              <w:bottom w:val="single" w:sz="4" w:space="0" w:color="auto"/>
              <w:right w:val="single" w:sz="4" w:space="0" w:color="auto"/>
            </w:tcBorders>
            <w:shd w:val="clear" w:color="auto" w:fill="F2F2F2"/>
            <w:hideMark/>
          </w:tcPr>
          <w:p w:rsidR="00467DFC" w:rsidRDefault="0039619F">
            <w:pPr>
              <w:ind w:left="-108" w:right="-108"/>
              <w:rPr>
                <w:b/>
                <w:bCs/>
                <w:color w:val="000000"/>
                <w:sz w:val="20"/>
                <w:lang w:eastAsia="en-GB"/>
              </w:rPr>
            </w:pPr>
            <w:r w:rsidRPr="006E367C">
              <w:rPr>
                <w:b/>
                <w:bCs/>
                <w:color w:val="000000"/>
                <w:sz w:val="20"/>
                <w:lang w:eastAsia="en-GB"/>
              </w:rPr>
              <w:t>Montreal Protocol/</w:t>
            </w:r>
          </w:p>
          <w:p w:rsidR="00467DFC" w:rsidRDefault="0039619F">
            <w:pPr>
              <w:ind w:left="-108" w:right="-108"/>
              <w:rPr>
                <w:b/>
                <w:bCs/>
                <w:color w:val="000000"/>
                <w:sz w:val="20"/>
                <w:lang w:eastAsia="en-GB"/>
              </w:rPr>
            </w:pPr>
            <w:r w:rsidRPr="006E367C">
              <w:rPr>
                <w:b/>
                <w:bCs/>
                <w:color w:val="000000"/>
                <w:sz w:val="20"/>
                <w:lang w:eastAsia="en-GB"/>
              </w:rPr>
              <w:t>Vienna Convention</w:t>
            </w:r>
          </w:p>
        </w:tc>
        <w:tc>
          <w:tcPr>
            <w:tcW w:w="850" w:type="dxa"/>
            <w:tcBorders>
              <w:top w:val="single" w:sz="4" w:space="0" w:color="auto"/>
              <w:left w:val="nil"/>
              <w:bottom w:val="single" w:sz="4" w:space="0" w:color="auto"/>
              <w:right w:val="single" w:sz="4" w:space="0" w:color="auto"/>
            </w:tcBorders>
            <w:shd w:val="clear" w:color="auto" w:fill="F2F2F2"/>
            <w:hideMark/>
          </w:tcPr>
          <w:p w:rsidR="00467DFC" w:rsidRDefault="0039619F">
            <w:pPr>
              <w:rPr>
                <w:b/>
                <w:bCs/>
                <w:color w:val="000000"/>
                <w:sz w:val="20"/>
                <w:lang w:eastAsia="en-GB"/>
              </w:rPr>
            </w:pPr>
            <w:r w:rsidRPr="006E367C">
              <w:rPr>
                <w:b/>
                <w:bCs/>
                <w:color w:val="000000"/>
                <w:sz w:val="20"/>
                <w:lang w:eastAsia="en-GB"/>
              </w:rPr>
              <w:t>MFS (Multilateral Fund)</w:t>
            </w:r>
          </w:p>
        </w:tc>
        <w:tc>
          <w:tcPr>
            <w:tcW w:w="1560" w:type="dxa"/>
            <w:tcBorders>
              <w:top w:val="single" w:sz="4" w:space="0" w:color="auto"/>
              <w:left w:val="nil"/>
              <w:bottom w:val="single" w:sz="4" w:space="0" w:color="auto"/>
              <w:right w:val="single" w:sz="4" w:space="0" w:color="auto"/>
            </w:tcBorders>
            <w:shd w:val="clear" w:color="auto" w:fill="F2F2F2"/>
            <w:hideMark/>
          </w:tcPr>
          <w:p w:rsidR="00467DFC" w:rsidRDefault="0039619F">
            <w:pPr>
              <w:rPr>
                <w:b/>
                <w:bCs/>
                <w:color w:val="000000"/>
                <w:sz w:val="20"/>
                <w:lang w:eastAsia="en-GB"/>
              </w:rPr>
            </w:pPr>
            <w:r w:rsidRPr="006E367C">
              <w:rPr>
                <w:b/>
                <w:bCs/>
                <w:color w:val="000000"/>
                <w:sz w:val="20"/>
                <w:lang w:eastAsia="en-GB"/>
              </w:rPr>
              <w:t>Convention for the Protection of Marine Environment and Coastal Region of the Mediterranean (MAP)</w:t>
            </w:r>
          </w:p>
        </w:tc>
        <w:tc>
          <w:tcPr>
            <w:tcW w:w="1417" w:type="dxa"/>
            <w:tcBorders>
              <w:top w:val="single" w:sz="4" w:space="0" w:color="auto"/>
              <w:left w:val="nil"/>
              <w:bottom w:val="single" w:sz="4" w:space="0" w:color="auto"/>
              <w:right w:val="single" w:sz="4" w:space="0" w:color="auto"/>
            </w:tcBorders>
            <w:shd w:val="clear" w:color="auto" w:fill="F2F2F2"/>
            <w:hideMark/>
          </w:tcPr>
          <w:p w:rsidR="00467DFC" w:rsidRDefault="0039619F">
            <w:pPr>
              <w:rPr>
                <w:b/>
                <w:bCs/>
                <w:color w:val="000000"/>
                <w:sz w:val="20"/>
                <w:lang w:eastAsia="en-GB"/>
              </w:rPr>
            </w:pPr>
            <w:r w:rsidRPr="006E367C">
              <w:rPr>
                <w:b/>
                <w:bCs/>
                <w:color w:val="000000"/>
                <w:sz w:val="20"/>
                <w:lang w:eastAsia="en-GB"/>
              </w:rPr>
              <w:t>Convention on International Trade on Endangered Species (CITES)</w:t>
            </w:r>
          </w:p>
        </w:tc>
        <w:tc>
          <w:tcPr>
            <w:tcW w:w="2126" w:type="dxa"/>
            <w:tcBorders>
              <w:top w:val="single" w:sz="4" w:space="0" w:color="auto"/>
              <w:left w:val="nil"/>
              <w:bottom w:val="single" w:sz="4" w:space="0" w:color="auto"/>
              <w:right w:val="single" w:sz="4" w:space="0" w:color="auto"/>
            </w:tcBorders>
            <w:shd w:val="clear" w:color="auto" w:fill="F2F2F2"/>
            <w:hideMark/>
          </w:tcPr>
          <w:p w:rsidR="00467DFC" w:rsidRDefault="0039619F">
            <w:pPr>
              <w:rPr>
                <w:b/>
                <w:bCs/>
                <w:color w:val="000000"/>
                <w:sz w:val="20"/>
                <w:lang w:eastAsia="en-GB"/>
              </w:rPr>
            </w:pPr>
            <w:r w:rsidRPr="006E367C">
              <w:rPr>
                <w:b/>
                <w:bCs/>
                <w:color w:val="000000"/>
                <w:sz w:val="20"/>
                <w:lang w:eastAsia="en-GB"/>
              </w:rPr>
              <w:t xml:space="preserve">United Nations Framework Convention on Climate Change (UNFCCC/Kyoto </w:t>
            </w:r>
            <w:proofErr w:type="spellStart"/>
            <w:r w:rsidRPr="006E367C">
              <w:rPr>
                <w:b/>
                <w:bCs/>
                <w:color w:val="000000"/>
                <w:sz w:val="20"/>
                <w:lang w:eastAsia="en-GB"/>
              </w:rPr>
              <w:t>Protocal</w:t>
            </w:r>
            <w:proofErr w:type="spellEnd"/>
            <w:r w:rsidRPr="006E367C">
              <w:rPr>
                <w:b/>
                <w:bCs/>
                <w:color w:val="000000"/>
                <w:sz w:val="20"/>
                <w:lang w:eastAsia="en-GB"/>
              </w:rPr>
              <w:t>)</w:t>
            </w:r>
          </w:p>
        </w:tc>
        <w:tc>
          <w:tcPr>
            <w:tcW w:w="1843" w:type="dxa"/>
            <w:tcBorders>
              <w:top w:val="single" w:sz="4" w:space="0" w:color="auto"/>
              <w:left w:val="nil"/>
              <w:bottom w:val="single" w:sz="4" w:space="0" w:color="auto"/>
              <w:right w:val="single" w:sz="4" w:space="0" w:color="auto"/>
            </w:tcBorders>
            <w:shd w:val="clear" w:color="auto" w:fill="F2F2F2"/>
            <w:hideMark/>
          </w:tcPr>
          <w:p w:rsidR="00467DFC" w:rsidRDefault="0039619F">
            <w:pPr>
              <w:rPr>
                <w:b/>
                <w:bCs/>
                <w:color w:val="000000"/>
                <w:sz w:val="20"/>
                <w:lang w:eastAsia="en-GB"/>
              </w:rPr>
            </w:pPr>
            <w:r w:rsidRPr="006E367C">
              <w:rPr>
                <w:b/>
                <w:bCs/>
                <w:color w:val="000000"/>
                <w:sz w:val="20"/>
                <w:lang w:eastAsia="en-GB"/>
              </w:rPr>
              <w:t xml:space="preserve">Cartagena </w:t>
            </w:r>
            <w:r w:rsidR="003006E3" w:rsidRPr="006E367C">
              <w:rPr>
                <w:b/>
                <w:bCs/>
                <w:color w:val="000000"/>
                <w:sz w:val="20"/>
                <w:lang w:eastAsia="en-GB"/>
              </w:rPr>
              <w:t>Protoc</w:t>
            </w:r>
            <w:r w:rsidR="003006E3">
              <w:rPr>
                <w:b/>
                <w:bCs/>
                <w:color w:val="000000"/>
                <w:sz w:val="20"/>
                <w:lang w:eastAsia="en-GB"/>
              </w:rPr>
              <w:t>o</w:t>
            </w:r>
            <w:r w:rsidR="003006E3" w:rsidRPr="006E367C">
              <w:rPr>
                <w:b/>
                <w:bCs/>
                <w:color w:val="000000"/>
                <w:sz w:val="20"/>
                <w:lang w:eastAsia="en-GB"/>
              </w:rPr>
              <w:t>l</w:t>
            </w:r>
          </w:p>
        </w:tc>
      </w:tr>
      <w:tr w:rsidR="0039619F" w:rsidRPr="006E367C" w:rsidTr="00477116">
        <w:trPr>
          <w:trHeight w:val="416"/>
        </w:trPr>
        <w:tc>
          <w:tcPr>
            <w:tcW w:w="1419" w:type="dxa"/>
            <w:tcBorders>
              <w:top w:val="nil"/>
              <w:left w:val="single" w:sz="4" w:space="0" w:color="auto"/>
              <w:bottom w:val="single" w:sz="4" w:space="0" w:color="auto"/>
              <w:right w:val="single" w:sz="4" w:space="0" w:color="auto"/>
            </w:tcBorders>
            <w:shd w:val="clear" w:color="auto" w:fill="auto"/>
            <w:hideMark/>
          </w:tcPr>
          <w:p w:rsidR="00467DFC" w:rsidRDefault="0039619F">
            <w:pPr>
              <w:rPr>
                <w:b/>
                <w:bCs/>
                <w:color w:val="000000"/>
                <w:sz w:val="20"/>
                <w:lang w:eastAsia="en-GB"/>
              </w:rPr>
            </w:pPr>
            <w:r w:rsidRPr="006E367C">
              <w:rPr>
                <w:b/>
                <w:bCs/>
                <w:color w:val="000000"/>
                <w:sz w:val="20"/>
                <w:lang w:eastAsia="en-GB"/>
              </w:rPr>
              <w:t xml:space="preserve">Type of </w:t>
            </w:r>
            <w:r w:rsidR="00FA4E0F" w:rsidRPr="00F45EBC">
              <w:rPr>
                <w:b/>
                <w:bCs/>
                <w:color w:val="000000"/>
                <w:sz w:val="20"/>
                <w:lang w:eastAsia="en-GB"/>
              </w:rPr>
              <w:t>measures</w:t>
            </w:r>
          </w:p>
        </w:tc>
        <w:tc>
          <w:tcPr>
            <w:tcW w:w="1984" w:type="dxa"/>
            <w:tcBorders>
              <w:top w:val="nil"/>
              <w:left w:val="nil"/>
              <w:bottom w:val="single" w:sz="4" w:space="0" w:color="auto"/>
              <w:right w:val="single" w:sz="4" w:space="0" w:color="auto"/>
            </w:tcBorders>
            <w:shd w:val="clear" w:color="auto" w:fill="auto"/>
            <w:hideMark/>
          </w:tcPr>
          <w:p w:rsidR="00D951D7" w:rsidRDefault="0039619F" w:rsidP="00D951D7">
            <w:pPr>
              <w:rPr>
                <w:color w:val="000000"/>
                <w:sz w:val="20"/>
                <w:lang w:eastAsia="en-GB"/>
              </w:rPr>
            </w:pPr>
            <w:r w:rsidRPr="006E367C">
              <w:rPr>
                <w:color w:val="000000"/>
                <w:sz w:val="20"/>
                <w:lang w:eastAsia="en-GB"/>
              </w:rPr>
              <w:t>With regard to contributions due from 1 January 2001</w:t>
            </w:r>
            <w:r w:rsidR="003006E3">
              <w:rPr>
                <w:color w:val="000000"/>
                <w:sz w:val="20"/>
                <w:lang w:eastAsia="en-GB"/>
              </w:rPr>
              <w:t>:</w:t>
            </w:r>
            <w:r w:rsidR="003006E3" w:rsidRPr="006E367C">
              <w:rPr>
                <w:color w:val="000000"/>
                <w:sz w:val="20"/>
                <w:lang w:eastAsia="en-GB"/>
              </w:rPr>
              <w:t xml:space="preserve"> </w:t>
            </w:r>
          </w:p>
          <w:p w:rsidR="00D951D7" w:rsidRDefault="0039619F" w:rsidP="00D951D7">
            <w:pPr>
              <w:rPr>
                <w:color w:val="000000"/>
                <w:sz w:val="20"/>
                <w:lang w:eastAsia="en-GB"/>
              </w:rPr>
            </w:pPr>
            <w:r w:rsidRPr="006E367C">
              <w:rPr>
                <w:color w:val="000000"/>
                <w:sz w:val="20"/>
                <w:lang w:eastAsia="en-GB"/>
              </w:rPr>
              <w:t>(</w:t>
            </w:r>
            <w:r w:rsidR="00D951D7">
              <w:rPr>
                <w:color w:val="000000"/>
                <w:sz w:val="20"/>
                <w:lang w:eastAsia="en-GB"/>
              </w:rPr>
              <w:t>a</w:t>
            </w:r>
            <w:r w:rsidRPr="006E367C">
              <w:rPr>
                <w:color w:val="000000"/>
                <w:sz w:val="20"/>
                <w:lang w:eastAsia="en-GB"/>
              </w:rPr>
              <w:t xml:space="preserve">) Any </w:t>
            </w:r>
            <w:r w:rsidR="00F60938">
              <w:rPr>
                <w:color w:val="000000"/>
                <w:sz w:val="20"/>
                <w:lang w:eastAsia="en-GB"/>
              </w:rPr>
              <w:t>p</w:t>
            </w:r>
            <w:r w:rsidRPr="006E367C">
              <w:rPr>
                <w:color w:val="000000"/>
                <w:sz w:val="20"/>
                <w:lang w:eastAsia="en-GB"/>
              </w:rPr>
              <w:t>arty whose contributions are in arrears for two or more years shall not be eligible to become a memb</w:t>
            </w:r>
            <w:r w:rsidR="003006E3">
              <w:rPr>
                <w:color w:val="000000"/>
                <w:sz w:val="20"/>
                <w:lang w:eastAsia="en-GB"/>
              </w:rPr>
              <w:t>e</w:t>
            </w:r>
            <w:r w:rsidRPr="006E367C">
              <w:rPr>
                <w:color w:val="000000"/>
                <w:sz w:val="20"/>
                <w:lang w:eastAsia="en-GB"/>
              </w:rPr>
              <w:t>r of any Bureau of the Conference of the Parties or its subs</w:t>
            </w:r>
            <w:r w:rsidR="005A5344">
              <w:rPr>
                <w:color w:val="000000"/>
                <w:sz w:val="20"/>
                <w:lang w:eastAsia="en-GB"/>
              </w:rPr>
              <w:t>i</w:t>
            </w:r>
            <w:r w:rsidRPr="006E367C">
              <w:rPr>
                <w:color w:val="000000"/>
                <w:sz w:val="20"/>
                <w:lang w:eastAsia="en-GB"/>
              </w:rPr>
              <w:t>diary bodies</w:t>
            </w:r>
            <w:r w:rsidR="00D951D7">
              <w:rPr>
                <w:color w:val="000000"/>
                <w:sz w:val="20"/>
                <w:lang w:eastAsia="en-GB"/>
              </w:rPr>
              <w:t>.</w:t>
            </w:r>
          </w:p>
          <w:p w:rsidR="0039619F" w:rsidRPr="006E367C" w:rsidRDefault="0039619F" w:rsidP="00D951D7">
            <w:pPr>
              <w:rPr>
                <w:color w:val="000000"/>
                <w:sz w:val="20"/>
                <w:lang w:eastAsia="en-GB"/>
              </w:rPr>
            </w:pPr>
            <w:r w:rsidRPr="006E367C">
              <w:rPr>
                <w:color w:val="000000"/>
                <w:sz w:val="20"/>
                <w:lang w:eastAsia="en-GB"/>
              </w:rPr>
              <w:t>(</w:t>
            </w:r>
            <w:r w:rsidR="00D951D7">
              <w:rPr>
                <w:color w:val="000000"/>
                <w:sz w:val="20"/>
                <w:lang w:eastAsia="en-GB"/>
              </w:rPr>
              <w:t>b</w:t>
            </w:r>
            <w:r w:rsidRPr="006E367C">
              <w:rPr>
                <w:color w:val="000000"/>
                <w:sz w:val="20"/>
                <w:lang w:eastAsia="en-GB"/>
              </w:rPr>
              <w:t xml:space="preserve">) Any </w:t>
            </w:r>
            <w:r w:rsidR="00F60938">
              <w:rPr>
                <w:color w:val="000000"/>
                <w:sz w:val="20"/>
                <w:lang w:eastAsia="en-GB"/>
              </w:rPr>
              <w:t>p</w:t>
            </w:r>
            <w:r w:rsidRPr="006E367C">
              <w:rPr>
                <w:color w:val="000000"/>
                <w:sz w:val="20"/>
                <w:lang w:eastAsia="en-GB"/>
              </w:rPr>
              <w:t>arty whose contributions are in arrears for four or more years shall not be entitled to vote at any meeting of the Conference of Parties unless the conference decides otherwise</w:t>
            </w:r>
            <w:r w:rsidR="00D951D7">
              <w:rPr>
                <w:color w:val="000000"/>
                <w:sz w:val="20"/>
                <w:lang w:eastAsia="en-GB"/>
              </w:rPr>
              <w:t>.</w:t>
            </w:r>
          </w:p>
        </w:tc>
        <w:tc>
          <w:tcPr>
            <w:tcW w:w="1701" w:type="dxa"/>
            <w:tcBorders>
              <w:top w:val="nil"/>
              <w:left w:val="nil"/>
              <w:bottom w:val="single" w:sz="4" w:space="0" w:color="auto"/>
              <w:right w:val="single" w:sz="4" w:space="0" w:color="auto"/>
            </w:tcBorders>
            <w:shd w:val="clear" w:color="auto" w:fill="auto"/>
            <w:hideMark/>
          </w:tcPr>
          <w:p w:rsidR="0039619F" w:rsidRPr="006E367C" w:rsidRDefault="0039619F" w:rsidP="00FC70A3">
            <w:pPr>
              <w:rPr>
                <w:color w:val="000000"/>
                <w:sz w:val="20"/>
                <w:lang w:eastAsia="en-GB"/>
              </w:rPr>
            </w:pPr>
            <w:r w:rsidRPr="006E367C">
              <w:rPr>
                <w:color w:val="000000"/>
                <w:sz w:val="20"/>
                <w:lang w:eastAsia="en-GB"/>
              </w:rPr>
              <w:t>Will not be eligible to become a member of the Bureau of the Conference of the Parties.</w:t>
            </w:r>
          </w:p>
        </w:tc>
        <w:tc>
          <w:tcPr>
            <w:tcW w:w="1418" w:type="dxa"/>
            <w:tcBorders>
              <w:top w:val="nil"/>
              <w:left w:val="nil"/>
              <w:bottom w:val="single" w:sz="4" w:space="0" w:color="auto"/>
              <w:right w:val="single" w:sz="4" w:space="0" w:color="auto"/>
            </w:tcBorders>
            <w:shd w:val="clear" w:color="auto" w:fill="auto"/>
            <w:hideMark/>
          </w:tcPr>
          <w:p w:rsidR="0039619F" w:rsidRPr="006E367C" w:rsidRDefault="0039619F" w:rsidP="003006E3">
            <w:pPr>
              <w:rPr>
                <w:color w:val="000000"/>
                <w:sz w:val="20"/>
                <w:lang w:eastAsia="en-GB"/>
              </w:rPr>
            </w:pPr>
            <w:r w:rsidRPr="006E367C">
              <w:rPr>
                <w:color w:val="000000"/>
                <w:sz w:val="20"/>
                <w:lang w:eastAsia="en-GB"/>
              </w:rPr>
              <w:t>To set the threshold of eligibility for funding delegates to attend the Convention’s meetings at 0.200 per cent on the United Nations scale of assessment</w:t>
            </w:r>
            <w:r w:rsidR="003006E3">
              <w:rPr>
                <w:color w:val="000000"/>
                <w:sz w:val="20"/>
                <w:lang w:eastAsia="en-GB"/>
              </w:rPr>
              <w:t>.</w:t>
            </w:r>
            <w:r w:rsidRPr="006E367C">
              <w:rPr>
                <w:color w:val="000000"/>
                <w:sz w:val="20"/>
                <w:lang w:eastAsia="en-GB"/>
              </w:rPr>
              <w:t xml:space="preserve"> </w:t>
            </w:r>
          </w:p>
        </w:tc>
        <w:tc>
          <w:tcPr>
            <w:tcW w:w="992" w:type="dxa"/>
            <w:tcBorders>
              <w:top w:val="nil"/>
              <w:left w:val="nil"/>
              <w:bottom w:val="single" w:sz="4" w:space="0" w:color="auto"/>
              <w:right w:val="single" w:sz="4" w:space="0" w:color="auto"/>
            </w:tcBorders>
            <w:shd w:val="clear" w:color="auto" w:fill="auto"/>
            <w:noWrap/>
            <w:hideMark/>
          </w:tcPr>
          <w:p w:rsidR="0039619F" w:rsidRPr="006E367C" w:rsidRDefault="0039619F" w:rsidP="00FC70A3">
            <w:pPr>
              <w:jc w:val="center"/>
              <w:rPr>
                <w:color w:val="000000"/>
                <w:sz w:val="20"/>
                <w:lang w:eastAsia="en-GB"/>
              </w:rPr>
            </w:pPr>
            <w:r w:rsidRPr="006E367C">
              <w:rPr>
                <w:color w:val="000000"/>
                <w:sz w:val="20"/>
                <w:lang w:eastAsia="en-GB"/>
              </w:rPr>
              <w:t>N/A</w:t>
            </w:r>
          </w:p>
        </w:tc>
        <w:tc>
          <w:tcPr>
            <w:tcW w:w="850" w:type="dxa"/>
            <w:tcBorders>
              <w:top w:val="nil"/>
              <w:left w:val="nil"/>
              <w:bottom w:val="single" w:sz="4" w:space="0" w:color="auto"/>
              <w:right w:val="single" w:sz="4" w:space="0" w:color="auto"/>
            </w:tcBorders>
            <w:shd w:val="clear" w:color="auto" w:fill="auto"/>
            <w:noWrap/>
            <w:hideMark/>
          </w:tcPr>
          <w:p w:rsidR="0039619F" w:rsidRPr="006E367C" w:rsidRDefault="0039619F" w:rsidP="00FC70A3">
            <w:pPr>
              <w:jc w:val="center"/>
              <w:rPr>
                <w:color w:val="000000"/>
                <w:sz w:val="20"/>
                <w:lang w:eastAsia="en-GB"/>
              </w:rPr>
            </w:pPr>
            <w:r w:rsidRPr="006E367C">
              <w:rPr>
                <w:color w:val="000000"/>
                <w:sz w:val="20"/>
                <w:lang w:eastAsia="en-GB"/>
              </w:rPr>
              <w:t>N/A</w:t>
            </w:r>
          </w:p>
        </w:tc>
        <w:tc>
          <w:tcPr>
            <w:tcW w:w="1560" w:type="dxa"/>
            <w:tcBorders>
              <w:top w:val="nil"/>
              <w:left w:val="nil"/>
              <w:bottom w:val="single" w:sz="4" w:space="0" w:color="auto"/>
              <w:right w:val="single" w:sz="4" w:space="0" w:color="auto"/>
            </w:tcBorders>
            <w:shd w:val="clear" w:color="auto" w:fill="auto"/>
            <w:hideMark/>
          </w:tcPr>
          <w:p w:rsidR="00D951D7" w:rsidRDefault="0039619F" w:rsidP="00FC70A3">
            <w:pPr>
              <w:rPr>
                <w:color w:val="000000"/>
                <w:sz w:val="20"/>
                <w:lang w:eastAsia="en-GB"/>
              </w:rPr>
            </w:pPr>
            <w:r w:rsidRPr="006E367C">
              <w:rPr>
                <w:color w:val="000000"/>
                <w:sz w:val="20"/>
                <w:lang w:eastAsia="en-GB"/>
              </w:rPr>
              <w:t>(a) Loss of voting rights at any meeting of contracting parties pursuant to Rule 42 of the Rules of Procedure of the Barcelona Convention</w:t>
            </w:r>
            <w:r w:rsidR="00D951D7">
              <w:rPr>
                <w:color w:val="000000"/>
                <w:sz w:val="20"/>
                <w:lang w:eastAsia="en-GB"/>
              </w:rPr>
              <w:t>.</w:t>
            </w:r>
            <w:r w:rsidR="00D951D7" w:rsidRPr="006E367C">
              <w:rPr>
                <w:color w:val="000000"/>
                <w:sz w:val="20"/>
                <w:lang w:eastAsia="en-GB"/>
              </w:rPr>
              <w:t xml:space="preserve">  </w:t>
            </w:r>
          </w:p>
          <w:p w:rsidR="0039619F" w:rsidRPr="006E367C" w:rsidRDefault="0039619F" w:rsidP="00FC70A3">
            <w:pPr>
              <w:rPr>
                <w:color w:val="000000"/>
                <w:sz w:val="20"/>
                <w:lang w:eastAsia="en-GB"/>
              </w:rPr>
            </w:pPr>
            <w:r w:rsidRPr="006E367C">
              <w:rPr>
                <w:color w:val="000000"/>
                <w:sz w:val="20"/>
                <w:lang w:eastAsia="en-GB"/>
              </w:rPr>
              <w:t xml:space="preserve">(b) </w:t>
            </w:r>
            <w:proofErr w:type="gramStart"/>
            <w:r w:rsidRPr="006E367C">
              <w:rPr>
                <w:color w:val="000000"/>
                <w:sz w:val="20"/>
                <w:lang w:eastAsia="en-GB"/>
              </w:rPr>
              <w:t>any</w:t>
            </w:r>
            <w:proofErr w:type="gramEnd"/>
            <w:r w:rsidRPr="006E367C">
              <w:rPr>
                <w:color w:val="000000"/>
                <w:sz w:val="20"/>
                <w:lang w:eastAsia="en-GB"/>
              </w:rPr>
              <w:t xml:space="preserve"> party whose contributions are in arrears for two or more years shall not be eligible to become a member of the Bureau or any other subsidiary bodies</w:t>
            </w:r>
            <w:r w:rsidR="00D951D7">
              <w:rPr>
                <w:color w:val="000000"/>
                <w:sz w:val="20"/>
                <w:lang w:eastAsia="en-GB"/>
              </w:rPr>
              <w:t>.</w:t>
            </w:r>
          </w:p>
        </w:tc>
        <w:tc>
          <w:tcPr>
            <w:tcW w:w="1417" w:type="dxa"/>
            <w:tcBorders>
              <w:top w:val="nil"/>
              <w:left w:val="nil"/>
              <w:bottom w:val="single" w:sz="4" w:space="0" w:color="auto"/>
              <w:right w:val="single" w:sz="4" w:space="0" w:color="auto"/>
            </w:tcBorders>
            <w:shd w:val="clear" w:color="auto" w:fill="auto"/>
            <w:noWrap/>
            <w:hideMark/>
          </w:tcPr>
          <w:p w:rsidR="0039619F" w:rsidRPr="006E367C" w:rsidRDefault="0039619F" w:rsidP="00FC70A3">
            <w:pPr>
              <w:jc w:val="center"/>
              <w:rPr>
                <w:color w:val="000000"/>
                <w:sz w:val="20"/>
                <w:lang w:eastAsia="en-GB"/>
              </w:rPr>
            </w:pPr>
            <w:r w:rsidRPr="006E367C">
              <w:rPr>
                <w:color w:val="000000"/>
                <w:sz w:val="20"/>
                <w:lang w:eastAsia="en-GB"/>
              </w:rPr>
              <w:t>N/A</w:t>
            </w:r>
          </w:p>
        </w:tc>
        <w:tc>
          <w:tcPr>
            <w:tcW w:w="2126" w:type="dxa"/>
            <w:tcBorders>
              <w:top w:val="nil"/>
              <w:left w:val="nil"/>
              <w:bottom w:val="single" w:sz="4" w:space="0" w:color="auto"/>
              <w:right w:val="single" w:sz="4" w:space="0" w:color="auto"/>
            </w:tcBorders>
            <w:shd w:val="clear" w:color="auto" w:fill="auto"/>
            <w:hideMark/>
          </w:tcPr>
          <w:p w:rsidR="00D951D7" w:rsidRDefault="0039619F" w:rsidP="00FC70A3">
            <w:pPr>
              <w:rPr>
                <w:color w:val="000000"/>
                <w:sz w:val="20"/>
                <w:lang w:eastAsia="en-GB"/>
              </w:rPr>
            </w:pPr>
            <w:r w:rsidRPr="006E367C">
              <w:rPr>
                <w:color w:val="000000"/>
                <w:sz w:val="20"/>
                <w:lang w:eastAsia="en-GB"/>
              </w:rPr>
              <w:t>(</w:t>
            </w:r>
            <w:r w:rsidR="00D951D7">
              <w:rPr>
                <w:color w:val="000000"/>
                <w:sz w:val="20"/>
                <w:lang w:eastAsia="en-GB"/>
              </w:rPr>
              <w:t>a</w:t>
            </w:r>
            <w:r w:rsidRPr="006E367C">
              <w:rPr>
                <w:color w:val="000000"/>
                <w:sz w:val="20"/>
                <w:lang w:eastAsia="en-GB"/>
              </w:rPr>
              <w:t>) Parties whose contributions are in arrears of one full year or more would not be eligible</w:t>
            </w:r>
            <w:r w:rsidR="00D951D7">
              <w:rPr>
                <w:color w:val="000000"/>
                <w:sz w:val="20"/>
                <w:lang w:eastAsia="en-GB"/>
              </w:rPr>
              <w:t xml:space="preserve"> </w:t>
            </w:r>
            <w:r w:rsidRPr="006E367C">
              <w:rPr>
                <w:color w:val="000000"/>
                <w:sz w:val="20"/>
                <w:lang w:eastAsia="en-GB"/>
              </w:rPr>
              <w:t>(</w:t>
            </w:r>
            <w:proofErr w:type="spellStart"/>
            <w:r w:rsidR="00D951D7">
              <w:rPr>
                <w:color w:val="000000"/>
                <w:sz w:val="20"/>
                <w:lang w:eastAsia="en-GB"/>
              </w:rPr>
              <w:t>i</w:t>
            </w:r>
            <w:proofErr w:type="spellEnd"/>
            <w:r w:rsidRPr="006E367C">
              <w:rPr>
                <w:color w:val="000000"/>
                <w:sz w:val="20"/>
                <w:lang w:eastAsia="en-GB"/>
              </w:rPr>
              <w:t>) For membership of the bureau of the COP and its subsidiary bodies</w:t>
            </w:r>
            <w:r w:rsidR="00D951D7">
              <w:rPr>
                <w:color w:val="000000"/>
                <w:sz w:val="20"/>
                <w:lang w:eastAsia="en-GB"/>
              </w:rPr>
              <w:t>,</w:t>
            </w:r>
            <w:r w:rsidRPr="006E367C">
              <w:rPr>
                <w:color w:val="000000"/>
                <w:sz w:val="20"/>
                <w:lang w:eastAsia="en-GB"/>
              </w:rPr>
              <w:t xml:space="preserve"> (</w:t>
            </w:r>
            <w:r w:rsidR="00D951D7">
              <w:rPr>
                <w:color w:val="000000"/>
                <w:sz w:val="20"/>
                <w:lang w:eastAsia="en-GB"/>
              </w:rPr>
              <w:t>ii</w:t>
            </w:r>
            <w:r w:rsidRPr="006E367C">
              <w:rPr>
                <w:color w:val="000000"/>
                <w:sz w:val="20"/>
                <w:lang w:eastAsia="en-GB"/>
              </w:rPr>
              <w:t>) To participate in debates at sessions of the COP and its subsidiary bodies</w:t>
            </w:r>
            <w:r w:rsidR="00D951D7">
              <w:rPr>
                <w:color w:val="000000"/>
                <w:sz w:val="20"/>
                <w:lang w:eastAsia="en-GB"/>
              </w:rPr>
              <w:t>,</w:t>
            </w:r>
            <w:r w:rsidRPr="006E367C">
              <w:rPr>
                <w:color w:val="000000"/>
                <w:sz w:val="20"/>
                <w:lang w:eastAsia="en-GB"/>
              </w:rPr>
              <w:t xml:space="preserve"> (</w:t>
            </w:r>
            <w:r w:rsidR="00D951D7">
              <w:rPr>
                <w:color w:val="000000"/>
                <w:sz w:val="20"/>
                <w:lang w:eastAsia="en-GB"/>
              </w:rPr>
              <w:t>iii</w:t>
            </w:r>
            <w:r w:rsidRPr="006E367C">
              <w:rPr>
                <w:color w:val="000000"/>
                <w:sz w:val="20"/>
                <w:lang w:eastAsia="en-GB"/>
              </w:rPr>
              <w:t>) For invitation to inter-</w:t>
            </w:r>
            <w:proofErr w:type="spellStart"/>
            <w:r w:rsidRPr="006E367C">
              <w:rPr>
                <w:color w:val="000000"/>
                <w:sz w:val="20"/>
                <w:lang w:eastAsia="en-GB"/>
              </w:rPr>
              <w:t>sessional</w:t>
            </w:r>
            <w:proofErr w:type="spellEnd"/>
            <w:r w:rsidRPr="006E367C">
              <w:rPr>
                <w:color w:val="000000"/>
                <w:sz w:val="20"/>
                <w:lang w:eastAsia="en-GB"/>
              </w:rPr>
              <w:t xml:space="preserve"> workshops and other meetings.  </w:t>
            </w:r>
          </w:p>
          <w:p w:rsidR="00D951D7" w:rsidRDefault="0039619F" w:rsidP="00FC70A3">
            <w:pPr>
              <w:rPr>
                <w:color w:val="000000"/>
                <w:sz w:val="20"/>
                <w:lang w:eastAsia="en-GB"/>
              </w:rPr>
            </w:pPr>
            <w:r w:rsidRPr="006E367C">
              <w:rPr>
                <w:color w:val="000000"/>
                <w:sz w:val="20"/>
                <w:lang w:eastAsia="en-GB"/>
              </w:rPr>
              <w:t>(</w:t>
            </w:r>
            <w:r w:rsidR="00D951D7">
              <w:rPr>
                <w:color w:val="000000"/>
                <w:sz w:val="20"/>
                <w:lang w:eastAsia="en-GB"/>
              </w:rPr>
              <w:t>b</w:t>
            </w:r>
            <w:r w:rsidRPr="006E367C">
              <w:rPr>
                <w:color w:val="000000"/>
                <w:sz w:val="20"/>
                <w:lang w:eastAsia="en-GB"/>
              </w:rPr>
              <w:t xml:space="preserve">) Parties which would </w:t>
            </w:r>
            <w:r w:rsidR="005A5344" w:rsidRPr="006E367C">
              <w:rPr>
                <w:color w:val="000000"/>
                <w:sz w:val="20"/>
                <w:lang w:eastAsia="en-GB"/>
              </w:rPr>
              <w:t>normally</w:t>
            </w:r>
            <w:r w:rsidRPr="006E367C">
              <w:rPr>
                <w:color w:val="000000"/>
                <w:sz w:val="20"/>
                <w:lang w:eastAsia="en-GB"/>
              </w:rPr>
              <w:t xml:space="preserve"> be eligible for funding will not </w:t>
            </w:r>
            <w:r w:rsidR="005A5344" w:rsidRPr="006E367C">
              <w:rPr>
                <w:color w:val="000000"/>
                <w:sz w:val="20"/>
                <w:lang w:eastAsia="en-GB"/>
              </w:rPr>
              <w:t>receive</w:t>
            </w:r>
            <w:r w:rsidRPr="006E367C">
              <w:rPr>
                <w:color w:val="000000"/>
                <w:sz w:val="20"/>
                <w:lang w:eastAsia="en-GB"/>
              </w:rPr>
              <w:t xml:space="preserve"> funding to attend any sessions.  </w:t>
            </w:r>
          </w:p>
          <w:p w:rsidR="0039619F" w:rsidRPr="006E367C" w:rsidRDefault="0039619F" w:rsidP="00FC70A3">
            <w:pPr>
              <w:rPr>
                <w:color w:val="000000"/>
                <w:sz w:val="20"/>
                <w:lang w:eastAsia="en-GB"/>
              </w:rPr>
            </w:pPr>
            <w:r w:rsidRPr="006E367C">
              <w:rPr>
                <w:color w:val="000000"/>
                <w:sz w:val="20"/>
                <w:lang w:eastAsia="en-GB"/>
              </w:rPr>
              <w:t>(</w:t>
            </w:r>
            <w:r w:rsidR="00D951D7">
              <w:rPr>
                <w:color w:val="000000"/>
                <w:sz w:val="20"/>
                <w:lang w:eastAsia="en-GB"/>
              </w:rPr>
              <w:t>c</w:t>
            </w:r>
            <w:r w:rsidRPr="006E367C">
              <w:rPr>
                <w:color w:val="000000"/>
                <w:sz w:val="20"/>
                <w:lang w:eastAsia="en-GB"/>
              </w:rPr>
              <w:t xml:space="preserve">) Parties will be allowed to attend meetings of the COP or its subsidiary bodies with a maximum of two delegates until </w:t>
            </w:r>
            <w:r w:rsidRPr="006E367C">
              <w:rPr>
                <w:color w:val="000000"/>
                <w:sz w:val="20"/>
                <w:lang w:eastAsia="en-GB"/>
              </w:rPr>
              <w:lastRenderedPageBreak/>
              <w:t xml:space="preserve">their arrears have been cleared. </w:t>
            </w:r>
          </w:p>
        </w:tc>
        <w:tc>
          <w:tcPr>
            <w:tcW w:w="1843" w:type="dxa"/>
            <w:tcBorders>
              <w:top w:val="nil"/>
              <w:left w:val="nil"/>
              <w:bottom w:val="single" w:sz="4" w:space="0" w:color="auto"/>
              <w:right w:val="single" w:sz="4" w:space="0" w:color="auto"/>
            </w:tcBorders>
            <w:shd w:val="clear" w:color="auto" w:fill="auto"/>
            <w:hideMark/>
          </w:tcPr>
          <w:p w:rsidR="0039619F" w:rsidRPr="006E367C" w:rsidRDefault="0039619F" w:rsidP="00FC70A3">
            <w:pPr>
              <w:rPr>
                <w:color w:val="333333"/>
                <w:sz w:val="20"/>
                <w:lang w:eastAsia="en-GB"/>
              </w:rPr>
            </w:pPr>
            <w:r w:rsidRPr="006E367C">
              <w:rPr>
                <w:color w:val="333333"/>
                <w:sz w:val="20"/>
                <w:lang w:eastAsia="en-GB"/>
              </w:rPr>
              <w:lastRenderedPageBreak/>
              <w:t xml:space="preserve">Decides that with regard to contributions due from 1 January 2005 onwards, </w:t>
            </w:r>
            <w:r w:rsidR="00F60938">
              <w:rPr>
                <w:color w:val="333333"/>
                <w:sz w:val="20"/>
                <w:lang w:eastAsia="en-GB"/>
              </w:rPr>
              <w:t>p</w:t>
            </w:r>
            <w:r w:rsidRPr="006E367C">
              <w:rPr>
                <w:color w:val="333333"/>
                <w:sz w:val="20"/>
                <w:lang w:eastAsia="en-GB"/>
              </w:rPr>
              <w:t xml:space="preserve">arties whose contributions are in arrears for two (2) or more years will not be eligible to become a member of the bureau of the Conference of the Parties serving as the meeting of the </w:t>
            </w:r>
            <w:r w:rsidR="00F60938">
              <w:rPr>
                <w:color w:val="333333"/>
                <w:sz w:val="20"/>
                <w:lang w:eastAsia="en-GB"/>
              </w:rPr>
              <w:t>p</w:t>
            </w:r>
            <w:r w:rsidRPr="006E367C">
              <w:rPr>
                <w:color w:val="333333"/>
                <w:sz w:val="20"/>
                <w:lang w:eastAsia="en-GB"/>
              </w:rPr>
              <w:t>arties to the Protocol</w:t>
            </w:r>
            <w:r w:rsidR="00B11C8B">
              <w:rPr>
                <w:color w:val="333333"/>
                <w:sz w:val="20"/>
                <w:lang w:eastAsia="en-GB"/>
              </w:rPr>
              <w:t>.</w:t>
            </w:r>
          </w:p>
        </w:tc>
      </w:tr>
      <w:tr w:rsidR="0039619F" w:rsidRPr="006E367C" w:rsidTr="00477116">
        <w:trPr>
          <w:trHeight w:val="4200"/>
        </w:trPr>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467DFC" w:rsidRDefault="0039619F">
            <w:pPr>
              <w:rPr>
                <w:b/>
                <w:bCs/>
                <w:color w:val="000000"/>
                <w:sz w:val="20"/>
                <w:lang w:eastAsia="en-GB"/>
              </w:rPr>
            </w:pPr>
            <w:r w:rsidRPr="006E367C">
              <w:rPr>
                <w:b/>
                <w:bCs/>
                <w:color w:val="000000"/>
                <w:sz w:val="20"/>
                <w:lang w:eastAsia="en-GB"/>
              </w:rPr>
              <w:lastRenderedPageBreak/>
              <w:t>Applies to</w:t>
            </w:r>
          </w:p>
        </w:tc>
        <w:tc>
          <w:tcPr>
            <w:tcW w:w="1984" w:type="dxa"/>
            <w:tcBorders>
              <w:top w:val="single" w:sz="4" w:space="0" w:color="auto"/>
              <w:left w:val="nil"/>
              <w:bottom w:val="single" w:sz="4" w:space="0" w:color="auto"/>
              <w:right w:val="single" w:sz="4" w:space="0" w:color="auto"/>
            </w:tcBorders>
            <w:shd w:val="clear" w:color="auto" w:fill="auto"/>
            <w:hideMark/>
          </w:tcPr>
          <w:p w:rsidR="0039619F" w:rsidRPr="006E367C" w:rsidRDefault="0039619F" w:rsidP="004B61C7">
            <w:pPr>
              <w:rPr>
                <w:color w:val="000000"/>
                <w:sz w:val="20"/>
                <w:lang w:eastAsia="en-GB"/>
              </w:rPr>
            </w:pPr>
            <w:r w:rsidRPr="006E367C">
              <w:rPr>
                <w:color w:val="000000"/>
                <w:sz w:val="20"/>
                <w:lang w:eastAsia="en-GB"/>
              </w:rPr>
              <w:t>Parties that are not least developed countries or small island developing States or Par</w:t>
            </w:r>
            <w:r w:rsidR="00B11C8B">
              <w:rPr>
                <w:color w:val="000000"/>
                <w:sz w:val="20"/>
                <w:lang w:eastAsia="en-GB"/>
              </w:rPr>
              <w:t>tie</w:t>
            </w:r>
            <w:r w:rsidRPr="006E367C">
              <w:rPr>
                <w:color w:val="000000"/>
                <w:sz w:val="20"/>
                <w:lang w:eastAsia="en-GB"/>
              </w:rPr>
              <w:t>s who have agreed and respecting the payment schedule</w:t>
            </w:r>
            <w:r w:rsidR="00B11C8B">
              <w:rPr>
                <w:color w:val="000000"/>
                <w:sz w:val="20"/>
                <w:lang w:eastAsia="en-GB"/>
              </w:rPr>
              <w:t>.</w:t>
            </w:r>
          </w:p>
        </w:tc>
        <w:tc>
          <w:tcPr>
            <w:tcW w:w="1701" w:type="dxa"/>
            <w:tcBorders>
              <w:top w:val="single" w:sz="4" w:space="0" w:color="auto"/>
              <w:left w:val="nil"/>
              <w:bottom w:val="single" w:sz="4" w:space="0" w:color="auto"/>
              <w:right w:val="single" w:sz="4" w:space="0" w:color="auto"/>
            </w:tcBorders>
            <w:shd w:val="clear" w:color="auto" w:fill="auto"/>
            <w:hideMark/>
          </w:tcPr>
          <w:p w:rsidR="0039619F" w:rsidRPr="006E367C" w:rsidRDefault="0039619F" w:rsidP="004B61C7">
            <w:pPr>
              <w:rPr>
                <w:color w:val="000000"/>
                <w:sz w:val="20"/>
                <w:lang w:eastAsia="en-GB"/>
              </w:rPr>
            </w:pPr>
            <w:r w:rsidRPr="006E367C">
              <w:rPr>
                <w:color w:val="000000"/>
                <w:sz w:val="20"/>
                <w:lang w:eastAsia="en-GB"/>
              </w:rPr>
              <w:t>Parties that are not least developed countries or small island developing States.</w:t>
            </w:r>
          </w:p>
        </w:tc>
        <w:tc>
          <w:tcPr>
            <w:tcW w:w="1418" w:type="dxa"/>
            <w:tcBorders>
              <w:top w:val="single" w:sz="4" w:space="0" w:color="auto"/>
              <w:left w:val="nil"/>
              <w:bottom w:val="single" w:sz="4" w:space="0" w:color="auto"/>
              <w:right w:val="single" w:sz="4" w:space="0" w:color="auto"/>
            </w:tcBorders>
            <w:shd w:val="clear" w:color="auto" w:fill="auto"/>
            <w:hideMark/>
          </w:tcPr>
          <w:p w:rsidR="0039619F" w:rsidRPr="006E367C" w:rsidRDefault="0039619F" w:rsidP="004B61C7">
            <w:pPr>
              <w:rPr>
                <w:color w:val="000000"/>
                <w:sz w:val="20"/>
                <w:lang w:eastAsia="en-GB"/>
              </w:rPr>
            </w:pPr>
            <w:r w:rsidRPr="006E367C">
              <w:rPr>
                <w:color w:val="000000"/>
                <w:sz w:val="20"/>
                <w:lang w:eastAsia="en-GB"/>
              </w:rPr>
              <w:t>As a general rule to exclude from such eligibility countries from the European Union, European countries with strong economies as listed in Annex IV to the present Resolution and/or countries that have payments in arrears of more than three years</w:t>
            </w:r>
            <w:r w:rsidR="00B11C8B">
              <w:rPr>
                <w:color w:val="000000"/>
                <w:sz w:val="20"/>
                <w:lang w:eastAsia="en-GB"/>
              </w:rPr>
              <w:t>.</w:t>
            </w:r>
          </w:p>
        </w:tc>
        <w:tc>
          <w:tcPr>
            <w:tcW w:w="992" w:type="dxa"/>
            <w:tcBorders>
              <w:top w:val="single" w:sz="4" w:space="0" w:color="auto"/>
              <w:left w:val="nil"/>
              <w:bottom w:val="single" w:sz="4" w:space="0" w:color="auto"/>
              <w:right w:val="single" w:sz="4" w:space="0" w:color="auto"/>
            </w:tcBorders>
            <w:shd w:val="clear" w:color="auto" w:fill="auto"/>
            <w:hideMark/>
          </w:tcPr>
          <w:p w:rsidR="0039619F" w:rsidRPr="006E367C" w:rsidRDefault="0039619F" w:rsidP="004B61C7">
            <w:pPr>
              <w:rPr>
                <w:color w:val="000000"/>
                <w:sz w:val="20"/>
                <w:lang w:eastAsia="en-GB"/>
              </w:rPr>
            </w:pPr>
            <w:r w:rsidRPr="006E367C">
              <w:rPr>
                <w:color w:val="000000"/>
                <w:sz w:val="20"/>
                <w:lang w:eastAsia="en-GB"/>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9619F" w:rsidRPr="006E367C" w:rsidRDefault="0039619F" w:rsidP="004B61C7">
            <w:pPr>
              <w:rPr>
                <w:color w:val="000000"/>
                <w:sz w:val="20"/>
                <w:lang w:eastAsia="en-GB"/>
              </w:rPr>
            </w:pPr>
            <w:r w:rsidRPr="006E367C">
              <w:rPr>
                <w:color w:val="000000"/>
                <w:sz w:val="20"/>
                <w:lang w:eastAsia="en-GB"/>
              </w:rPr>
              <w:t> </w:t>
            </w:r>
          </w:p>
        </w:tc>
        <w:tc>
          <w:tcPr>
            <w:tcW w:w="1560" w:type="dxa"/>
            <w:tcBorders>
              <w:top w:val="single" w:sz="4" w:space="0" w:color="auto"/>
              <w:left w:val="nil"/>
              <w:bottom w:val="single" w:sz="4" w:space="0" w:color="auto"/>
              <w:right w:val="single" w:sz="4" w:space="0" w:color="auto"/>
            </w:tcBorders>
            <w:shd w:val="clear" w:color="auto" w:fill="auto"/>
            <w:hideMark/>
          </w:tcPr>
          <w:p w:rsidR="0039619F" w:rsidRPr="006E367C" w:rsidRDefault="0039619F" w:rsidP="004B61C7">
            <w:pPr>
              <w:rPr>
                <w:color w:val="000000"/>
                <w:sz w:val="20"/>
                <w:lang w:eastAsia="en-GB"/>
              </w:rPr>
            </w:pPr>
            <w:r w:rsidRPr="006E367C">
              <w:rPr>
                <w:color w:val="000000"/>
                <w:sz w:val="20"/>
                <w:lang w:eastAsia="en-GB"/>
              </w:rPr>
              <w:t xml:space="preserve">To </w:t>
            </w:r>
            <w:r w:rsidR="00B11C8B">
              <w:rPr>
                <w:color w:val="000000"/>
                <w:sz w:val="20"/>
                <w:lang w:eastAsia="en-GB"/>
              </w:rPr>
              <w:t>a</w:t>
            </w:r>
            <w:r w:rsidRPr="006E367C">
              <w:rPr>
                <w:color w:val="000000"/>
                <w:sz w:val="20"/>
                <w:lang w:eastAsia="en-GB"/>
              </w:rPr>
              <w:t>ll parties except those who have agreed a payment schedule.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619F" w:rsidRPr="006E367C" w:rsidRDefault="0039619F" w:rsidP="004B61C7">
            <w:pPr>
              <w:rPr>
                <w:color w:val="000000"/>
                <w:sz w:val="20"/>
                <w:lang w:eastAsia="en-GB"/>
              </w:rPr>
            </w:pPr>
            <w:r w:rsidRPr="006E367C">
              <w:rPr>
                <w:color w:val="000000"/>
                <w:sz w:val="20"/>
                <w:lang w:eastAsia="en-GB"/>
              </w:rPr>
              <w:t> </w:t>
            </w:r>
          </w:p>
        </w:tc>
        <w:tc>
          <w:tcPr>
            <w:tcW w:w="2126" w:type="dxa"/>
            <w:tcBorders>
              <w:top w:val="single" w:sz="4" w:space="0" w:color="auto"/>
              <w:left w:val="nil"/>
              <w:bottom w:val="single" w:sz="4" w:space="0" w:color="auto"/>
              <w:right w:val="single" w:sz="4" w:space="0" w:color="auto"/>
            </w:tcBorders>
            <w:shd w:val="clear" w:color="auto" w:fill="auto"/>
            <w:hideMark/>
          </w:tcPr>
          <w:p w:rsidR="0039619F" w:rsidRPr="006E367C" w:rsidRDefault="0039619F" w:rsidP="004B61C7">
            <w:pPr>
              <w:rPr>
                <w:color w:val="000000"/>
                <w:sz w:val="20"/>
                <w:lang w:eastAsia="en-GB"/>
              </w:rPr>
            </w:pPr>
            <w:r w:rsidRPr="006E367C">
              <w:rPr>
                <w:color w:val="000000"/>
                <w:sz w:val="20"/>
                <w:lang w:eastAsia="en-GB"/>
              </w:rPr>
              <w:t>Parties that are not least developed countries or small island developing States.</w:t>
            </w:r>
          </w:p>
        </w:tc>
        <w:tc>
          <w:tcPr>
            <w:tcW w:w="1843" w:type="dxa"/>
            <w:tcBorders>
              <w:top w:val="single" w:sz="4" w:space="0" w:color="auto"/>
              <w:left w:val="nil"/>
              <w:bottom w:val="single" w:sz="4" w:space="0" w:color="auto"/>
              <w:right w:val="single" w:sz="4" w:space="0" w:color="auto"/>
            </w:tcBorders>
            <w:shd w:val="clear" w:color="auto" w:fill="auto"/>
            <w:hideMark/>
          </w:tcPr>
          <w:p w:rsidR="0039619F" w:rsidRPr="006E367C" w:rsidRDefault="0039619F" w:rsidP="004B61C7">
            <w:pPr>
              <w:rPr>
                <w:color w:val="000000"/>
                <w:sz w:val="20"/>
                <w:lang w:eastAsia="en-GB"/>
              </w:rPr>
            </w:pPr>
            <w:r w:rsidRPr="006E367C">
              <w:rPr>
                <w:color w:val="000000"/>
                <w:sz w:val="20"/>
                <w:lang w:eastAsia="en-GB"/>
              </w:rPr>
              <w:t>Parties that are not least developed countries or small island developing States.</w:t>
            </w:r>
          </w:p>
        </w:tc>
      </w:tr>
      <w:tr w:rsidR="0039619F" w:rsidRPr="006E367C" w:rsidTr="00477116">
        <w:trPr>
          <w:trHeight w:val="900"/>
        </w:trPr>
        <w:tc>
          <w:tcPr>
            <w:tcW w:w="1419" w:type="dxa"/>
            <w:tcBorders>
              <w:top w:val="nil"/>
              <w:left w:val="single" w:sz="4" w:space="0" w:color="auto"/>
              <w:bottom w:val="single" w:sz="4" w:space="0" w:color="auto"/>
              <w:right w:val="single" w:sz="4" w:space="0" w:color="auto"/>
            </w:tcBorders>
            <w:shd w:val="clear" w:color="auto" w:fill="auto"/>
            <w:hideMark/>
          </w:tcPr>
          <w:p w:rsidR="00467DFC" w:rsidRDefault="0039619F">
            <w:pPr>
              <w:rPr>
                <w:b/>
                <w:bCs/>
                <w:color w:val="000000"/>
                <w:sz w:val="20"/>
                <w:lang w:eastAsia="en-GB"/>
              </w:rPr>
            </w:pPr>
            <w:r w:rsidRPr="006E367C">
              <w:rPr>
                <w:b/>
                <w:bCs/>
                <w:color w:val="000000"/>
                <w:sz w:val="20"/>
                <w:lang w:eastAsia="en-GB"/>
              </w:rPr>
              <w:t>Time period to trigger penalty</w:t>
            </w:r>
          </w:p>
        </w:tc>
        <w:tc>
          <w:tcPr>
            <w:tcW w:w="1984" w:type="dxa"/>
            <w:tcBorders>
              <w:top w:val="nil"/>
              <w:left w:val="nil"/>
              <w:bottom w:val="single" w:sz="4" w:space="0" w:color="auto"/>
              <w:right w:val="single" w:sz="4" w:space="0" w:color="auto"/>
            </w:tcBorders>
            <w:shd w:val="clear" w:color="auto" w:fill="auto"/>
            <w:vAlign w:val="center"/>
            <w:hideMark/>
          </w:tcPr>
          <w:p w:rsidR="00467DFC" w:rsidRDefault="0039619F">
            <w:pPr>
              <w:rPr>
                <w:color w:val="000000"/>
                <w:sz w:val="20"/>
                <w:lang w:eastAsia="en-GB"/>
              </w:rPr>
            </w:pPr>
            <w:r w:rsidRPr="006E367C">
              <w:rPr>
                <w:color w:val="000000"/>
                <w:sz w:val="20"/>
                <w:lang w:eastAsia="en-GB"/>
              </w:rPr>
              <w:t>2 or more years</w:t>
            </w:r>
          </w:p>
        </w:tc>
        <w:tc>
          <w:tcPr>
            <w:tcW w:w="1701" w:type="dxa"/>
            <w:tcBorders>
              <w:top w:val="nil"/>
              <w:left w:val="nil"/>
              <w:bottom w:val="single" w:sz="4" w:space="0" w:color="auto"/>
              <w:right w:val="single" w:sz="4" w:space="0" w:color="auto"/>
            </w:tcBorders>
            <w:shd w:val="clear" w:color="auto" w:fill="auto"/>
            <w:vAlign w:val="center"/>
            <w:hideMark/>
          </w:tcPr>
          <w:p w:rsidR="00467DFC" w:rsidRDefault="0039619F">
            <w:pPr>
              <w:rPr>
                <w:color w:val="000000"/>
                <w:sz w:val="20"/>
                <w:lang w:eastAsia="en-GB"/>
              </w:rPr>
            </w:pPr>
            <w:r w:rsidRPr="006E367C">
              <w:rPr>
                <w:color w:val="000000"/>
                <w:sz w:val="20"/>
                <w:lang w:eastAsia="en-GB"/>
              </w:rPr>
              <w:t>2 or more years</w:t>
            </w:r>
          </w:p>
        </w:tc>
        <w:tc>
          <w:tcPr>
            <w:tcW w:w="1418" w:type="dxa"/>
            <w:tcBorders>
              <w:top w:val="nil"/>
              <w:left w:val="nil"/>
              <w:bottom w:val="single" w:sz="4" w:space="0" w:color="auto"/>
              <w:right w:val="single" w:sz="4" w:space="0" w:color="auto"/>
            </w:tcBorders>
            <w:shd w:val="clear" w:color="auto" w:fill="auto"/>
            <w:vAlign w:val="center"/>
            <w:hideMark/>
          </w:tcPr>
          <w:p w:rsidR="00467DFC" w:rsidRDefault="0039619F">
            <w:pPr>
              <w:rPr>
                <w:color w:val="000000"/>
                <w:sz w:val="20"/>
                <w:lang w:eastAsia="en-GB"/>
              </w:rPr>
            </w:pPr>
            <w:r w:rsidRPr="006E367C">
              <w:rPr>
                <w:color w:val="000000"/>
                <w:sz w:val="20"/>
                <w:lang w:eastAsia="en-GB"/>
              </w:rPr>
              <w:t>3 or more years</w:t>
            </w:r>
          </w:p>
        </w:tc>
        <w:tc>
          <w:tcPr>
            <w:tcW w:w="992" w:type="dxa"/>
            <w:tcBorders>
              <w:top w:val="nil"/>
              <w:left w:val="nil"/>
              <w:bottom w:val="single" w:sz="4" w:space="0" w:color="auto"/>
              <w:right w:val="single" w:sz="4" w:space="0" w:color="auto"/>
            </w:tcBorders>
            <w:shd w:val="clear" w:color="auto" w:fill="auto"/>
            <w:vAlign w:val="center"/>
            <w:hideMark/>
          </w:tcPr>
          <w:p w:rsidR="00467DFC" w:rsidRDefault="0039619F">
            <w:pPr>
              <w:rPr>
                <w:color w:val="000000"/>
                <w:sz w:val="20"/>
                <w:lang w:eastAsia="en-GB"/>
              </w:rPr>
            </w:pPr>
            <w:r w:rsidRPr="006E367C">
              <w:rPr>
                <w:color w:val="000000"/>
                <w:sz w:val="20"/>
                <w:lang w:eastAsia="en-GB"/>
              </w:rPr>
              <w:t>N/A</w:t>
            </w:r>
          </w:p>
        </w:tc>
        <w:tc>
          <w:tcPr>
            <w:tcW w:w="850" w:type="dxa"/>
            <w:tcBorders>
              <w:top w:val="nil"/>
              <w:left w:val="nil"/>
              <w:bottom w:val="single" w:sz="4" w:space="0" w:color="auto"/>
              <w:right w:val="single" w:sz="4" w:space="0" w:color="auto"/>
            </w:tcBorders>
            <w:shd w:val="clear" w:color="auto" w:fill="auto"/>
            <w:noWrap/>
            <w:vAlign w:val="center"/>
            <w:hideMark/>
          </w:tcPr>
          <w:p w:rsidR="00467DFC" w:rsidRDefault="0039619F">
            <w:pPr>
              <w:rPr>
                <w:color w:val="000000"/>
                <w:sz w:val="20"/>
                <w:lang w:eastAsia="en-GB"/>
              </w:rPr>
            </w:pPr>
            <w:r w:rsidRPr="006E367C">
              <w:rPr>
                <w:color w:val="000000"/>
                <w:sz w:val="20"/>
                <w:lang w:eastAsia="en-GB"/>
              </w:rPr>
              <w:t>N/A</w:t>
            </w:r>
          </w:p>
        </w:tc>
        <w:tc>
          <w:tcPr>
            <w:tcW w:w="1560" w:type="dxa"/>
            <w:tcBorders>
              <w:top w:val="nil"/>
              <w:left w:val="nil"/>
              <w:bottom w:val="single" w:sz="4" w:space="0" w:color="auto"/>
              <w:right w:val="single" w:sz="4" w:space="0" w:color="auto"/>
            </w:tcBorders>
            <w:shd w:val="clear" w:color="auto" w:fill="auto"/>
            <w:vAlign w:val="center"/>
            <w:hideMark/>
          </w:tcPr>
          <w:p w:rsidR="00467DFC" w:rsidRDefault="0039619F">
            <w:pPr>
              <w:rPr>
                <w:color w:val="000000"/>
                <w:sz w:val="20"/>
                <w:lang w:eastAsia="en-GB"/>
              </w:rPr>
            </w:pPr>
            <w:r w:rsidRPr="006E367C">
              <w:rPr>
                <w:color w:val="000000"/>
                <w:sz w:val="20"/>
                <w:lang w:eastAsia="en-GB"/>
              </w:rPr>
              <w:t>2 or more years</w:t>
            </w:r>
          </w:p>
        </w:tc>
        <w:tc>
          <w:tcPr>
            <w:tcW w:w="1417" w:type="dxa"/>
            <w:tcBorders>
              <w:top w:val="nil"/>
              <w:left w:val="nil"/>
              <w:bottom w:val="single" w:sz="4" w:space="0" w:color="auto"/>
              <w:right w:val="single" w:sz="4" w:space="0" w:color="auto"/>
            </w:tcBorders>
            <w:shd w:val="clear" w:color="auto" w:fill="auto"/>
            <w:noWrap/>
            <w:vAlign w:val="center"/>
            <w:hideMark/>
          </w:tcPr>
          <w:p w:rsidR="00467DFC" w:rsidRDefault="0039619F">
            <w:pPr>
              <w:rPr>
                <w:color w:val="000000"/>
                <w:sz w:val="20"/>
                <w:lang w:eastAsia="en-GB"/>
              </w:rPr>
            </w:pPr>
            <w:r w:rsidRPr="006E367C">
              <w:rPr>
                <w:color w:val="000000"/>
                <w:sz w:val="20"/>
                <w:lang w:eastAsia="en-GB"/>
              </w:rPr>
              <w:t>N/A</w:t>
            </w:r>
          </w:p>
        </w:tc>
        <w:tc>
          <w:tcPr>
            <w:tcW w:w="2126" w:type="dxa"/>
            <w:tcBorders>
              <w:top w:val="nil"/>
              <w:left w:val="nil"/>
              <w:bottom w:val="single" w:sz="4" w:space="0" w:color="auto"/>
              <w:right w:val="single" w:sz="4" w:space="0" w:color="auto"/>
            </w:tcBorders>
            <w:shd w:val="clear" w:color="auto" w:fill="auto"/>
            <w:vAlign w:val="center"/>
            <w:hideMark/>
          </w:tcPr>
          <w:p w:rsidR="00467DFC" w:rsidRDefault="0039619F">
            <w:pPr>
              <w:rPr>
                <w:color w:val="000000"/>
                <w:sz w:val="20"/>
                <w:szCs w:val="22"/>
                <w:lang w:eastAsia="en-GB"/>
              </w:rPr>
            </w:pPr>
            <w:r w:rsidRPr="006E367C">
              <w:rPr>
                <w:color w:val="000000"/>
                <w:sz w:val="20"/>
                <w:lang w:eastAsia="en-GB"/>
              </w:rPr>
              <w:t>1 or more years</w:t>
            </w:r>
          </w:p>
        </w:tc>
        <w:tc>
          <w:tcPr>
            <w:tcW w:w="1843" w:type="dxa"/>
            <w:tcBorders>
              <w:top w:val="nil"/>
              <w:left w:val="nil"/>
              <w:bottom w:val="single" w:sz="4" w:space="0" w:color="auto"/>
              <w:right w:val="single" w:sz="4" w:space="0" w:color="auto"/>
            </w:tcBorders>
            <w:shd w:val="clear" w:color="auto" w:fill="auto"/>
            <w:vAlign w:val="center"/>
            <w:hideMark/>
          </w:tcPr>
          <w:p w:rsidR="00467DFC" w:rsidRDefault="0039619F">
            <w:pPr>
              <w:rPr>
                <w:color w:val="000000"/>
                <w:sz w:val="20"/>
                <w:szCs w:val="22"/>
                <w:lang w:eastAsia="en-GB"/>
              </w:rPr>
            </w:pPr>
            <w:r w:rsidRPr="006E367C">
              <w:rPr>
                <w:color w:val="000000"/>
                <w:sz w:val="20"/>
                <w:lang w:eastAsia="en-GB"/>
              </w:rPr>
              <w:t>2 or more years</w:t>
            </w:r>
          </w:p>
        </w:tc>
      </w:tr>
      <w:tr w:rsidR="0039619F" w:rsidRPr="006E367C" w:rsidTr="00477116">
        <w:trPr>
          <w:cantSplit/>
          <w:trHeight w:val="7905"/>
        </w:trPr>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467DFC" w:rsidRDefault="0039619F">
            <w:pPr>
              <w:rPr>
                <w:b/>
                <w:bCs/>
                <w:color w:val="000000"/>
                <w:sz w:val="20"/>
                <w:lang w:eastAsia="en-GB"/>
              </w:rPr>
            </w:pPr>
            <w:r w:rsidRPr="006E367C">
              <w:rPr>
                <w:b/>
                <w:bCs/>
                <w:color w:val="000000"/>
                <w:sz w:val="20"/>
                <w:lang w:eastAsia="en-GB"/>
              </w:rPr>
              <w:lastRenderedPageBreak/>
              <w:t>Action by Secretariat</w:t>
            </w:r>
          </w:p>
        </w:tc>
        <w:tc>
          <w:tcPr>
            <w:tcW w:w="1984" w:type="dxa"/>
            <w:tcBorders>
              <w:top w:val="single" w:sz="4" w:space="0" w:color="auto"/>
              <w:left w:val="nil"/>
              <w:bottom w:val="single" w:sz="4" w:space="0" w:color="auto"/>
              <w:right w:val="single" w:sz="4" w:space="0" w:color="auto"/>
            </w:tcBorders>
            <w:shd w:val="clear" w:color="auto" w:fill="auto"/>
            <w:hideMark/>
          </w:tcPr>
          <w:p w:rsidR="0039619F" w:rsidRPr="006E367C" w:rsidRDefault="0039619F" w:rsidP="004B61C7">
            <w:pPr>
              <w:rPr>
                <w:color w:val="000000"/>
                <w:sz w:val="20"/>
                <w:lang w:eastAsia="en-GB"/>
              </w:rPr>
            </w:pPr>
            <w:r w:rsidRPr="006E367C">
              <w:rPr>
                <w:color w:val="000000"/>
                <w:sz w:val="20"/>
                <w:lang w:eastAsia="en-GB"/>
              </w:rPr>
              <w:t>The Executive Secretary shall agree with any party whose contri</w:t>
            </w:r>
            <w:r w:rsidR="00FD4D95">
              <w:rPr>
                <w:color w:val="000000"/>
                <w:sz w:val="20"/>
                <w:lang w:eastAsia="en-GB"/>
              </w:rPr>
              <w:t>b</w:t>
            </w:r>
            <w:r w:rsidRPr="006E367C">
              <w:rPr>
                <w:color w:val="000000"/>
                <w:sz w:val="20"/>
                <w:lang w:eastAsia="en-GB"/>
              </w:rPr>
              <w:t>utions are in arrears for two or more years on a payment schedule to permit such a party to clear its arrears within six years. The Executive Secre</w:t>
            </w:r>
            <w:r w:rsidR="00FD4D95">
              <w:rPr>
                <w:color w:val="000000"/>
                <w:sz w:val="20"/>
                <w:lang w:eastAsia="en-GB"/>
              </w:rPr>
              <w:t>t</w:t>
            </w:r>
            <w:r w:rsidRPr="006E367C">
              <w:rPr>
                <w:color w:val="000000"/>
                <w:sz w:val="20"/>
                <w:lang w:eastAsia="en-GB"/>
              </w:rPr>
              <w:t>ary shall report to next Bureau and Conference of the Parties on the progress made under such schedule</w:t>
            </w:r>
            <w:r w:rsidR="00B11C8B">
              <w:rPr>
                <w:color w:val="000000"/>
                <w:sz w:val="20"/>
                <w:lang w:eastAsia="en-GB"/>
              </w:rPr>
              <w:t>.</w:t>
            </w:r>
          </w:p>
        </w:tc>
        <w:tc>
          <w:tcPr>
            <w:tcW w:w="1701" w:type="dxa"/>
            <w:tcBorders>
              <w:top w:val="single" w:sz="4" w:space="0" w:color="auto"/>
              <w:left w:val="nil"/>
              <w:bottom w:val="single" w:sz="4" w:space="0" w:color="auto"/>
              <w:right w:val="single" w:sz="4" w:space="0" w:color="auto"/>
            </w:tcBorders>
            <w:shd w:val="clear" w:color="auto" w:fill="auto"/>
            <w:hideMark/>
          </w:tcPr>
          <w:p w:rsidR="0039619F" w:rsidRPr="006E367C" w:rsidRDefault="0039619F" w:rsidP="004B61C7">
            <w:pPr>
              <w:rPr>
                <w:color w:val="000000"/>
                <w:sz w:val="20"/>
                <w:lang w:eastAsia="en-GB"/>
              </w:rPr>
            </w:pPr>
            <w:r w:rsidRPr="006E367C">
              <w:rPr>
                <w:color w:val="000000"/>
                <w:sz w:val="20"/>
                <w:lang w:eastAsia="en-GB"/>
              </w:rPr>
              <w:t xml:space="preserve">Enter into arrangements with any </w:t>
            </w:r>
            <w:r w:rsidR="00F60938">
              <w:rPr>
                <w:color w:val="000000"/>
                <w:sz w:val="20"/>
                <w:lang w:eastAsia="en-GB"/>
              </w:rPr>
              <w:t>p</w:t>
            </w:r>
            <w:r w:rsidRPr="006E367C">
              <w:rPr>
                <w:color w:val="000000"/>
                <w:sz w:val="20"/>
                <w:lang w:eastAsia="en-GB"/>
              </w:rPr>
              <w:t xml:space="preserve">arty whose contributions are in arrears to mutually agree on a “schedule of payments” for such a </w:t>
            </w:r>
            <w:r w:rsidR="00F60938">
              <w:rPr>
                <w:color w:val="000000"/>
                <w:sz w:val="20"/>
                <w:lang w:eastAsia="en-GB"/>
              </w:rPr>
              <w:t>p</w:t>
            </w:r>
            <w:r w:rsidRPr="006E367C">
              <w:rPr>
                <w:color w:val="000000"/>
                <w:sz w:val="20"/>
                <w:lang w:eastAsia="en-GB"/>
              </w:rPr>
              <w:t xml:space="preserve">arty, to clear all outstanding arrears, within six years depending on the financial circumstances of the </w:t>
            </w:r>
            <w:r w:rsidR="00F60938">
              <w:rPr>
                <w:color w:val="000000"/>
                <w:sz w:val="20"/>
                <w:lang w:eastAsia="en-GB"/>
              </w:rPr>
              <w:t>p</w:t>
            </w:r>
            <w:r w:rsidRPr="006E367C">
              <w:rPr>
                <w:color w:val="000000"/>
                <w:sz w:val="20"/>
                <w:lang w:eastAsia="en-GB"/>
              </w:rPr>
              <w:t>arty in arrears and pay future contributions by the due date, and report on the implementation of any such arrangement to the next meeting of the Bureau and to the Conference of the Parties</w:t>
            </w:r>
            <w:r w:rsidR="00B11C8B">
              <w:rPr>
                <w:color w:val="000000"/>
                <w:sz w:val="20"/>
                <w:lang w:eastAsia="en-GB"/>
              </w:rPr>
              <w: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9619F" w:rsidRPr="006E367C" w:rsidRDefault="0039619F" w:rsidP="004B61C7">
            <w:pPr>
              <w:rPr>
                <w:color w:val="000000"/>
                <w:sz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9619F" w:rsidRPr="006E367C" w:rsidRDefault="0039619F" w:rsidP="004B61C7">
            <w:pPr>
              <w:rPr>
                <w:color w:val="000000"/>
                <w:sz w:val="20"/>
                <w:lang w:eastAsia="en-GB"/>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9619F" w:rsidRPr="006E367C" w:rsidRDefault="0039619F" w:rsidP="004B61C7">
            <w:pPr>
              <w:rPr>
                <w:color w:val="000000"/>
                <w:sz w:val="20"/>
                <w:lang w:eastAsia="en-GB"/>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9619F" w:rsidRPr="006E367C" w:rsidRDefault="0039619F" w:rsidP="004B61C7">
            <w:pPr>
              <w:rPr>
                <w:color w:val="000000"/>
                <w:sz w:val="20"/>
                <w:lang w:eastAsia="en-GB"/>
              </w:rPr>
            </w:pPr>
          </w:p>
        </w:tc>
        <w:tc>
          <w:tcPr>
            <w:tcW w:w="1417" w:type="dxa"/>
            <w:tcBorders>
              <w:top w:val="single" w:sz="4" w:space="0" w:color="auto"/>
              <w:left w:val="nil"/>
              <w:bottom w:val="single" w:sz="4" w:space="0" w:color="auto"/>
              <w:right w:val="single" w:sz="4" w:space="0" w:color="auto"/>
            </w:tcBorders>
            <w:shd w:val="clear" w:color="auto" w:fill="auto"/>
            <w:hideMark/>
          </w:tcPr>
          <w:p w:rsidR="0039619F" w:rsidRPr="006E367C" w:rsidRDefault="0039619F" w:rsidP="004B61C7">
            <w:pPr>
              <w:rPr>
                <w:color w:val="000000"/>
                <w:sz w:val="20"/>
                <w:lang w:eastAsia="en-GB"/>
              </w:rPr>
            </w:pPr>
            <w:r w:rsidRPr="006E367C">
              <w:rPr>
                <w:color w:val="000000"/>
                <w:sz w:val="20"/>
                <w:lang w:eastAsia="en-GB"/>
              </w:rPr>
              <w:t xml:space="preserve">The Secretary-General shall submit proposals with a facilitative approach for dealing with non-payment of contributions by </w:t>
            </w:r>
            <w:r w:rsidR="0083504C">
              <w:rPr>
                <w:color w:val="000000"/>
                <w:sz w:val="20"/>
                <w:lang w:eastAsia="en-GB"/>
              </w:rPr>
              <w:t>p</w:t>
            </w:r>
            <w:r w:rsidRPr="006E367C">
              <w:rPr>
                <w:color w:val="000000"/>
                <w:sz w:val="20"/>
                <w:lang w:eastAsia="en-GB"/>
              </w:rPr>
              <w:t>arties for consideration and review by the Conference of the Parties at its 15th meeting</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39619F" w:rsidRPr="006E367C" w:rsidRDefault="0039619F" w:rsidP="004B61C7">
            <w:pPr>
              <w:rPr>
                <w:color w:val="000000"/>
                <w:sz w:val="20"/>
                <w:lang w:eastAsia="en-GB"/>
              </w:rPr>
            </w:pPr>
          </w:p>
        </w:tc>
        <w:tc>
          <w:tcPr>
            <w:tcW w:w="1843" w:type="dxa"/>
            <w:tcBorders>
              <w:top w:val="single" w:sz="4" w:space="0" w:color="auto"/>
              <w:left w:val="nil"/>
              <w:bottom w:val="single" w:sz="4" w:space="0" w:color="auto"/>
              <w:right w:val="single" w:sz="4" w:space="0" w:color="auto"/>
            </w:tcBorders>
            <w:shd w:val="clear" w:color="auto" w:fill="auto"/>
            <w:hideMark/>
          </w:tcPr>
          <w:p w:rsidR="0039619F" w:rsidRPr="00852703" w:rsidRDefault="00A409C1" w:rsidP="004B61C7">
            <w:pPr>
              <w:rPr>
                <w:sz w:val="20"/>
                <w:lang w:eastAsia="en-GB"/>
              </w:rPr>
            </w:pPr>
            <w:r w:rsidRPr="00A409C1">
              <w:rPr>
                <w:sz w:val="20"/>
                <w:lang w:eastAsia="en-GB"/>
              </w:rPr>
              <w:t xml:space="preserve">Enter into arrangements with any </w:t>
            </w:r>
            <w:r w:rsidR="0083504C">
              <w:rPr>
                <w:sz w:val="20"/>
                <w:lang w:eastAsia="en-GB"/>
              </w:rPr>
              <w:t>p</w:t>
            </w:r>
            <w:r w:rsidRPr="00A409C1">
              <w:rPr>
                <w:sz w:val="20"/>
                <w:lang w:eastAsia="en-GB"/>
              </w:rPr>
              <w:t xml:space="preserve">arty whose contributions are in arrears for two or more years to mutually agree on a 'schedule of payments' for such a </w:t>
            </w:r>
            <w:r w:rsidR="00F60938">
              <w:rPr>
                <w:sz w:val="20"/>
                <w:lang w:eastAsia="en-GB"/>
              </w:rPr>
              <w:t>p</w:t>
            </w:r>
            <w:r w:rsidRPr="00A409C1">
              <w:rPr>
                <w:sz w:val="20"/>
                <w:lang w:eastAsia="en-GB"/>
              </w:rPr>
              <w:t xml:space="preserve">arty, to clear all outstanding arrears, within six years depending on the financial circumstances of the </w:t>
            </w:r>
            <w:r w:rsidR="0083504C">
              <w:rPr>
                <w:sz w:val="20"/>
                <w:lang w:eastAsia="en-GB"/>
              </w:rPr>
              <w:t>p</w:t>
            </w:r>
            <w:r w:rsidRPr="00A409C1">
              <w:rPr>
                <w:sz w:val="20"/>
                <w:lang w:eastAsia="en-GB"/>
              </w:rPr>
              <w:t xml:space="preserve">arty in arrears and pay future contributions by the due date, and report on the implementation of any such arrangement to the next meeting of the Bureau and to the Conference of the Parties serving as the meeting of the </w:t>
            </w:r>
            <w:r w:rsidR="0083504C">
              <w:rPr>
                <w:sz w:val="20"/>
                <w:lang w:eastAsia="en-GB"/>
              </w:rPr>
              <w:t>p</w:t>
            </w:r>
            <w:r w:rsidRPr="00A409C1">
              <w:rPr>
                <w:sz w:val="20"/>
                <w:lang w:eastAsia="en-GB"/>
              </w:rPr>
              <w:t xml:space="preserve">arties to the Cartagena Protocol on </w:t>
            </w:r>
            <w:proofErr w:type="spellStart"/>
            <w:r w:rsidRPr="00A409C1">
              <w:rPr>
                <w:sz w:val="20"/>
                <w:lang w:eastAsia="en-GB"/>
              </w:rPr>
              <w:t>Biosafety</w:t>
            </w:r>
            <w:proofErr w:type="spellEnd"/>
            <w:r w:rsidR="00EB54D4">
              <w:rPr>
                <w:sz w:val="20"/>
                <w:lang w:eastAsia="en-GB"/>
              </w:rPr>
              <w:t>.</w:t>
            </w:r>
          </w:p>
        </w:tc>
      </w:tr>
      <w:tr w:rsidR="0039619F" w:rsidRPr="006E367C" w:rsidTr="00477116">
        <w:trPr>
          <w:trHeight w:val="2071"/>
        </w:trPr>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467DFC" w:rsidRDefault="0039619F">
            <w:pPr>
              <w:rPr>
                <w:b/>
                <w:bCs/>
                <w:color w:val="000000"/>
                <w:sz w:val="20"/>
                <w:szCs w:val="22"/>
                <w:lang w:eastAsia="en-GB"/>
              </w:rPr>
            </w:pPr>
            <w:r w:rsidRPr="006E367C">
              <w:rPr>
                <w:b/>
                <w:bCs/>
                <w:color w:val="000000"/>
                <w:sz w:val="20"/>
                <w:lang w:eastAsia="en-GB"/>
              </w:rPr>
              <w:lastRenderedPageBreak/>
              <w:t>Source of information</w:t>
            </w:r>
          </w:p>
        </w:tc>
        <w:tc>
          <w:tcPr>
            <w:tcW w:w="1984" w:type="dxa"/>
            <w:tcBorders>
              <w:top w:val="single" w:sz="4" w:space="0" w:color="auto"/>
              <w:left w:val="nil"/>
              <w:bottom w:val="single" w:sz="4" w:space="0" w:color="auto"/>
              <w:right w:val="single" w:sz="4" w:space="0" w:color="auto"/>
            </w:tcBorders>
            <w:shd w:val="clear" w:color="auto" w:fill="auto"/>
            <w:hideMark/>
          </w:tcPr>
          <w:p w:rsidR="0039619F" w:rsidRPr="006E367C" w:rsidRDefault="00421775" w:rsidP="00D62AE2">
            <w:pPr>
              <w:rPr>
                <w:color w:val="000000"/>
                <w:sz w:val="20"/>
                <w:lang w:eastAsia="en-GB"/>
              </w:rPr>
            </w:pPr>
            <w:r>
              <w:rPr>
                <w:color w:val="000000"/>
                <w:sz w:val="20"/>
                <w:lang w:eastAsia="en-GB"/>
              </w:rPr>
              <w:t xml:space="preserve">Rule </w:t>
            </w:r>
            <w:r w:rsidR="0039619F" w:rsidRPr="006E367C">
              <w:rPr>
                <w:color w:val="000000"/>
                <w:sz w:val="20"/>
                <w:lang w:eastAsia="en-GB"/>
              </w:rPr>
              <w:t xml:space="preserve">5 of the </w:t>
            </w:r>
            <w:r w:rsidR="00681BA8">
              <w:rPr>
                <w:color w:val="000000"/>
                <w:sz w:val="20"/>
                <w:lang w:eastAsia="en-GB"/>
              </w:rPr>
              <w:t>BC</w:t>
            </w:r>
            <w:r>
              <w:rPr>
                <w:color w:val="000000"/>
                <w:sz w:val="20"/>
                <w:lang w:eastAsia="en-GB"/>
              </w:rPr>
              <w:t xml:space="preserve"> </w:t>
            </w:r>
            <w:r w:rsidR="0039619F" w:rsidRPr="006E367C">
              <w:rPr>
                <w:color w:val="000000"/>
                <w:sz w:val="20"/>
                <w:lang w:eastAsia="en-GB"/>
              </w:rPr>
              <w:t>financial rules</w:t>
            </w:r>
            <w:r w:rsidR="00D62AE2">
              <w:rPr>
                <w:color w:val="000000"/>
                <w:sz w:val="20"/>
                <w:lang w:eastAsia="en-GB"/>
              </w:rPr>
              <w:t xml:space="preserve"> and Decisions</w:t>
            </w:r>
            <w:r w:rsidR="00D62AE2" w:rsidRPr="00A35422">
              <w:rPr>
                <w:sz w:val="18"/>
                <w:szCs w:val="18"/>
              </w:rPr>
              <w:t xml:space="preserve"> BC-10/28 and BC-11/26</w:t>
            </w:r>
            <w:r w:rsidR="00D62AE2">
              <w:rPr>
                <w:sz w:val="18"/>
                <w:szCs w:val="18"/>
              </w:rPr>
              <w:t>;</w:t>
            </w:r>
            <w:r w:rsidR="00681BA8">
              <w:rPr>
                <w:color w:val="000000"/>
                <w:sz w:val="20"/>
                <w:lang w:eastAsia="en-GB"/>
              </w:rPr>
              <w:t xml:space="preserve"> Decision </w:t>
            </w:r>
            <w:r w:rsidR="00681BA8" w:rsidRPr="00A35422">
              <w:rPr>
                <w:sz w:val="18"/>
                <w:szCs w:val="18"/>
              </w:rPr>
              <w:t>RC-6/16</w:t>
            </w:r>
            <w:r w:rsidR="00D62AE2">
              <w:rPr>
                <w:sz w:val="18"/>
                <w:szCs w:val="18"/>
              </w:rPr>
              <w:t xml:space="preserve">; </w:t>
            </w:r>
            <w:r w:rsidR="00681BA8">
              <w:rPr>
                <w:sz w:val="18"/>
                <w:szCs w:val="18"/>
              </w:rPr>
              <w:t>Decision SC-6/30</w:t>
            </w:r>
            <w:r w:rsidR="00EB54D4">
              <w:rPr>
                <w:color w:val="000000"/>
                <w:sz w:val="20"/>
                <w:lang w:eastAsia="en-GB"/>
              </w:rPr>
              <w:t>.</w:t>
            </w:r>
          </w:p>
        </w:tc>
        <w:tc>
          <w:tcPr>
            <w:tcW w:w="1701" w:type="dxa"/>
            <w:tcBorders>
              <w:top w:val="single" w:sz="4" w:space="0" w:color="auto"/>
              <w:left w:val="nil"/>
              <w:bottom w:val="single" w:sz="4" w:space="0" w:color="auto"/>
              <w:right w:val="single" w:sz="4" w:space="0" w:color="auto"/>
            </w:tcBorders>
            <w:shd w:val="clear" w:color="auto" w:fill="auto"/>
            <w:hideMark/>
          </w:tcPr>
          <w:p w:rsidR="0039619F" w:rsidRPr="006E367C" w:rsidRDefault="0039619F" w:rsidP="00FC70A3">
            <w:pPr>
              <w:rPr>
                <w:color w:val="000000"/>
                <w:sz w:val="20"/>
                <w:lang w:eastAsia="en-GB"/>
              </w:rPr>
            </w:pPr>
            <w:r w:rsidRPr="006E367C">
              <w:rPr>
                <w:color w:val="000000"/>
                <w:sz w:val="20"/>
                <w:lang w:eastAsia="en-GB"/>
              </w:rPr>
              <w:t>COP11 decision XI/31 on Administration of the Convention and budget for the programme of work for the biennium 2013-2014</w:t>
            </w:r>
            <w:r w:rsidR="00EB54D4">
              <w:rPr>
                <w:color w:val="000000"/>
                <w:sz w:val="20"/>
                <w:lang w:eastAsia="en-GB"/>
              </w:rPr>
              <w:t>.</w:t>
            </w:r>
          </w:p>
        </w:tc>
        <w:tc>
          <w:tcPr>
            <w:tcW w:w="1418" w:type="dxa"/>
            <w:tcBorders>
              <w:top w:val="single" w:sz="4" w:space="0" w:color="auto"/>
              <w:left w:val="nil"/>
              <w:bottom w:val="single" w:sz="4" w:space="0" w:color="auto"/>
              <w:right w:val="single" w:sz="4" w:space="0" w:color="auto"/>
            </w:tcBorders>
            <w:shd w:val="clear" w:color="auto" w:fill="auto"/>
            <w:hideMark/>
          </w:tcPr>
          <w:p w:rsidR="0039619F" w:rsidRPr="006E367C" w:rsidRDefault="0039619F" w:rsidP="00FC70A3">
            <w:pPr>
              <w:rPr>
                <w:color w:val="000000"/>
                <w:sz w:val="20"/>
                <w:lang w:eastAsia="en-GB"/>
              </w:rPr>
            </w:pPr>
            <w:r w:rsidRPr="006E367C">
              <w:rPr>
                <w:color w:val="000000"/>
                <w:sz w:val="20"/>
                <w:lang w:eastAsia="en-GB"/>
              </w:rPr>
              <w:t>COP10 Resolution 10.1 para.13</w:t>
            </w:r>
            <w:r w:rsidR="00EB54D4">
              <w:rPr>
                <w:color w:val="000000"/>
                <w:sz w:val="20"/>
                <w:lang w:eastAsia="en-GB"/>
              </w:rPr>
              <w:t>.</w:t>
            </w:r>
          </w:p>
        </w:tc>
        <w:tc>
          <w:tcPr>
            <w:tcW w:w="992" w:type="dxa"/>
            <w:tcBorders>
              <w:top w:val="single" w:sz="4" w:space="0" w:color="auto"/>
              <w:left w:val="nil"/>
              <w:bottom w:val="single" w:sz="4" w:space="0" w:color="auto"/>
              <w:right w:val="single" w:sz="4" w:space="0" w:color="auto"/>
            </w:tcBorders>
            <w:shd w:val="clear" w:color="auto" w:fill="auto"/>
            <w:hideMark/>
          </w:tcPr>
          <w:p w:rsidR="0039619F" w:rsidRPr="006E367C" w:rsidRDefault="0039619F" w:rsidP="00FC70A3">
            <w:pPr>
              <w:rPr>
                <w:color w:val="000000"/>
                <w:sz w:val="20"/>
                <w:lang w:eastAsia="en-GB"/>
              </w:rPr>
            </w:pPr>
            <w:r w:rsidRPr="006E367C">
              <w:rPr>
                <w:color w:val="000000"/>
                <w:sz w:val="20"/>
                <w:lang w:eastAsia="en-GB"/>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9619F" w:rsidRPr="006E367C" w:rsidRDefault="0039619F" w:rsidP="00FC70A3">
            <w:pPr>
              <w:rPr>
                <w:color w:val="000000"/>
                <w:sz w:val="20"/>
                <w:lang w:eastAsia="en-GB"/>
              </w:rPr>
            </w:pPr>
          </w:p>
        </w:tc>
        <w:tc>
          <w:tcPr>
            <w:tcW w:w="1560" w:type="dxa"/>
            <w:tcBorders>
              <w:top w:val="single" w:sz="4" w:space="0" w:color="auto"/>
              <w:left w:val="nil"/>
              <w:bottom w:val="single" w:sz="4" w:space="0" w:color="auto"/>
              <w:right w:val="single" w:sz="4" w:space="0" w:color="auto"/>
            </w:tcBorders>
            <w:shd w:val="clear" w:color="auto" w:fill="auto"/>
            <w:hideMark/>
          </w:tcPr>
          <w:p w:rsidR="0039619F" w:rsidRPr="006E367C" w:rsidRDefault="0039619F" w:rsidP="00EB54D4">
            <w:pPr>
              <w:rPr>
                <w:color w:val="000000"/>
                <w:sz w:val="20"/>
                <w:lang w:eastAsia="en-GB"/>
              </w:rPr>
            </w:pPr>
            <w:r w:rsidRPr="006E367C">
              <w:rPr>
                <w:color w:val="000000"/>
                <w:sz w:val="20"/>
                <w:lang w:eastAsia="en-GB"/>
              </w:rPr>
              <w:t>COP18 decision IG.21/15 on Financial regulation and rules and procedures.</w:t>
            </w:r>
          </w:p>
        </w:tc>
        <w:tc>
          <w:tcPr>
            <w:tcW w:w="1417" w:type="dxa"/>
            <w:tcBorders>
              <w:top w:val="single" w:sz="4" w:space="0" w:color="auto"/>
              <w:left w:val="nil"/>
              <w:bottom w:val="single" w:sz="4" w:space="0" w:color="auto"/>
              <w:right w:val="single" w:sz="4" w:space="0" w:color="auto"/>
            </w:tcBorders>
            <w:shd w:val="clear" w:color="auto" w:fill="auto"/>
            <w:hideMark/>
          </w:tcPr>
          <w:p w:rsidR="0039619F" w:rsidRPr="006E367C" w:rsidRDefault="0039619F" w:rsidP="0058145D">
            <w:pPr>
              <w:jc w:val="center"/>
              <w:rPr>
                <w:color w:val="000000"/>
                <w:sz w:val="20"/>
                <w:lang w:eastAsia="en-GB"/>
              </w:rPr>
            </w:pPr>
            <w:r w:rsidRPr="006E367C">
              <w:rPr>
                <w:color w:val="000000"/>
                <w:sz w:val="20"/>
                <w:lang w:eastAsia="en-GB"/>
              </w:rPr>
              <w:t>Resolution Conf. 14.1</w:t>
            </w:r>
            <w:r w:rsidR="00EB54D4">
              <w:rPr>
                <w:color w:val="000000"/>
                <w:sz w:val="20"/>
                <w:lang w:eastAsia="en-GB"/>
              </w:rPr>
              <w:t>.</w:t>
            </w:r>
          </w:p>
        </w:tc>
        <w:tc>
          <w:tcPr>
            <w:tcW w:w="2126" w:type="dxa"/>
            <w:tcBorders>
              <w:top w:val="single" w:sz="4" w:space="0" w:color="auto"/>
              <w:left w:val="nil"/>
              <w:bottom w:val="single" w:sz="4" w:space="0" w:color="auto"/>
              <w:right w:val="single" w:sz="4" w:space="0" w:color="auto"/>
            </w:tcBorders>
            <w:shd w:val="clear" w:color="auto" w:fill="auto"/>
            <w:hideMark/>
          </w:tcPr>
          <w:p w:rsidR="0039619F" w:rsidRPr="006E367C" w:rsidRDefault="0039619F" w:rsidP="00FC70A3">
            <w:pPr>
              <w:rPr>
                <w:color w:val="000000"/>
                <w:sz w:val="20"/>
                <w:lang w:eastAsia="en-GB"/>
              </w:rPr>
            </w:pPr>
            <w:r w:rsidRPr="006E367C">
              <w:rPr>
                <w:color w:val="000000"/>
                <w:sz w:val="20"/>
                <w:lang w:eastAsia="en-GB"/>
              </w:rPr>
              <w:t>FCCC/SBI/2000/2 and FCCC/SBI/2000/CRP-6</w:t>
            </w:r>
            <w:r w:rsidR="00EB54D4">
              <w:rPr>
                <w:color w:val="000000"/>
                <w:sz w:val="20"/>
                <w:lang w:eastAsia="en-GB"/>
              </w:rPr>
              <w:t>.</w:t>
            </w:r>
          </w:p>
        </w:tc>
        <w:tc>
          <w:tcPr>
            <w:tcW w:w="1843" w:type="dxa"/>
            <w:tcBorders>
              <w:top w:val="single" w:sz="4" w:space="0" w:color="auto"/>
              <w:left w:val="nil"/>
              <w:bottom w:val="single" w:sz="4" w:space="0" w:color="auto"/>
              <w:right w:val="single" w:sz="4" w:space="0" w:color="auto"/>
            </w:tcBorders>
            <w:shd w:val="clear" w:color="auto" w:fill="auto"/>
            <w:hideMark/>
          </w:tcPr>
          <w:p w:rsidR="0039619F" w:rsidRPr="006E367C" w:rsidRDefault="0039619F" w:rsidP="00FC70A3">
            <w:pPr>
              <w:rPr>
                <w:color w:val="000000"/>
                <w:sz w:val="20"/>
                <w:lang w:eastAsia="en-GB"/>
              </w:rPr>
            </w:pPr>
            <w:r w:rsidRPr="006E367C">
              <w:rPr>
                <w:color w:val="000000"/>
                <w:sz w:val="20"/>
                <w:lang w:eastAsia="en-GB"/>
              </w:rPr>
              <w:t>COP7 Decision BS-VI/7 on Budget</w:t>
            </w:r>
            <w:r w:rsidR="00EB54D4">
              <w:rPr>
                <w:color w:val="000000"/>
                <w:sz w:val="20"/>
                <w:lang w:eastAsia="en-GB"/>
              </w:rPr>
              <w:t>.</w:t>
            </w:r>
            <w:r w:rsidRPr="006E367C">
              <w:rPr>
                <w:color w:val="000000"/>
                <w:sz w:val="20"/>
                <w:lang w:eastAsia="en-GB"/>
              </w:rPr>
              <w:t xml:space="preserve"> </w:t>
            </w:r>
          </w:p>
        </w:tc>
      </w:tr>
    </w:tbl>
    <w:p w:rsidR="004079CC" w:rsidRDefault="004079CC" w:rsidP="004122B7">
      <w:pPr>
        <w:pStyle w:val="Normal-pool"/>
      </w:pPr>
    </w:p>
    <w:p w:rsidR="004079CC" w:rsidRDefault="004079CC" w:rsidP="004122B7">
      <w:pPr>
        <w:pStyle w:val="Normal-pool"/>
      </w:pPr>
    </w:p>
    <w:p w:rsidR="004079CC" w:rsidRDefault="004079CC" w:rsidP="004122B7">
      <w:pPr>
        <w:pStyle w:val="Normal-pool"/>
      </w:pPr>
    </w:p>
    <w:p w:rsidR="004079CC" w:rsidRDefault="004079CC" w:rsidP="004122B7">
      <w:pPr>
        <w:pStyle w:val="Normal-pool"/>
      </w:pPr>
    </w:p>
    <w:p w:rsidR="004079CC" w:rsidRDefault="004079CC" w:rsidP="004122B7">
      <w:pPr>
        <w:pStyle w:val="Normal-pool"/>
      </w:pPr>
    </w:p>
    <w:p w:rsidR="004079CC" w:rsidRDefault="004079CC" w:rsidP="004122B7">
      <w:pPr>
        <w:pStyle w:val="Normal-pool"/>
      </w:pPr>
    </w:p>
    <w:p w:rsidR="004079CC" w:rsidRDefault="004079CC" w:rsidP="004122B7">
      <w:pPr>
        <w:pStyle w:val="Normal-pool"/>
      </w:pPr>
    </w:p>
    <w:p w:rsidR="004079CC" w:rsidRDefault="004079CC" w:rsidP="004122B7">
      <w:pPr>
        <w:pStyle w:val="Normal-pool"/>
      </w:pPr>
    </w:p>
    <w:p w:rsidR="004079CC" w:rsidRDefault="004079CC" w:rsidP="004079CC">
      <w:pPr>
        <w:pStyle w:val="ZZAnxheader"/>
        <w:spacing w:line="220" w:lineRule="exact"/>
        <w:rPr>
          <w:bCs w:val="0"/>
          <w:sz w:val="20"/>
          <w:lang w:val="en-US"/>
        </w:rPr>
      </w:pPr>
    </w:p>
    <w:p w:rsidR="003103CF" w:rsidRDefault="003103CF" w:rsidP="004079CC">
      <w:pPr>
        <w:pStyle w:val="ZZAnxheader"/>
        <w:spacing w:line="220" w:lineRule="exact"/>
        <w:rPr>
          <w:lang w:val="en-GB"/>
        </w:rPr>
        <w:sectPr w:rsidR="003103CF" w:rsidSect="00CD3330">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6838" w:h="11906" w:orient="landscape" w:code="9"/>
          <w:pgMar w:top="907" w:right="851" w:bottom="1418" w:left="1418" w:header="539" w:footer="975" w:gutter="0"/>
          <w:cols w:space="708"/>
          <w:titlePg/>
          <w:docGrid w:linePitch="360"/>
        </w:sectPr>
      </w:pPr>
    </w:p>
    <w:p w:rsidR="00467DFC" w:rsidRDefault="003103CF">
      <w:pPr>
        <w:pStyle w:val="ZZAnxtitle"/>
        <w:tabs>
          <w:tab w:val="clear" w:pos="1247"/>
        </w:tabs>
        <w:spacing w:before="0" w:after="240"/>
        <w:ind w:left="1418" w:hanging="1418"/>
        <w:rPr>
          <w:b w:val="0"/>
          <w:bCs w:val="0"/>
          <w:szCs w:val="28"/>
          <w:lang w:val="en-US"/>
        </w:rPr>
      </w:pPr>
      <w:r>
        <w:rPr>
          <w:lang w:val="en-GB"/>
        </w:rPr>
        <w:lastRenderedPageBreak/>
        <w:t>Annex II</w:t>
      </w:r>
      <w:r>
        <w:rPr>
          <w:lang w:val="en-GB"/>
        </w:rPr>
        <w:br/>
      </w:r>
      <w:r w:rsidR="00CC6C3E">
        <w:rPr>
          <w:lang w:val="en-GB"/>
        </w:rPr>
        <w:t xml:space="preserve">Information on </w:t>
      </w:r>
      <w:r w:rsidR="00CC6C3E" w:rsidRPr="00CC6C3E">
        <w:rPr>
          <w:szCs w:val="28"/>
          <w:lang w:val="en-US"/>
        </w:rPr>
        <w:t>measures used by organizations of the United Nations system to encourage the payment of</w:t>
      </w:r>
      <w:r w:rsidR="00CC6C3E">
        <w:rPr>
          <w:szCs w:val="28"/>
          <w:lang w:val="en-US"/>
        </w:rPr>
        <w:t xml:space="preserve"> </w:t>
      </w:r>
      <w:r w:rsidR="00CC6C3E" w:rsidRPr="00CC6C3E">
        <w:rPr>
          <w:szCs w:val="28"/>
          <w:lang w:val="en-US"/>
        </w:rPr>
        <w:t>assessed contributions</w:t>
      </w:r>
    </w:p>
    <w:tbl>
      <w:tblPr>
        <w:tblW w:w="15174" w:type="dxa"/>
        <w:tblLayout w:type="fixed"/>
        <w:tblLook w:val="04A0"/>
      </w:tblPr>
      <w:tblGrid>
        <w:gridCol w:w="1242"/>
        <w:gridCol w:w="995"/>
        <w:gridCol w:w="995"/>
        <w:gridCol w:w="995"/>
        <w:gridCol w:w="1126"/>
        <w:gridCol w:w="851"/>
        <w:gridCol w:w="1008"/>
        <w:gridCol w:w="996"/>
        <w:gridCol w:w="995"/>
        <w:gridCol w:w="995"/>
        <w:gridCol w:w="995"/>
        <w:gridCol w:w="995"/>
        <w:gridCol w:w="995"/>
        <w:gridCol w:w="995"/>
        <w:gridCol w:w="996"/>
      </w:tblGrid>
      <w:tr w:rsidR="000D0E18" w:rsidRPr="002563D0" w:rsidTr="00AC0309">
        <w:trPr>
          <w:cantSplit/>
          <w:trHeight w:val="105"/>
          <w:tblHeader/>
        </w:trPr>
        <w:tc>
          <w:tcPr>
            <w:tcW w:w="1242" w:type="dxa"/>
            <w:tcBorders>
              <w:top w:val="single" w:sz="6" w:space="0" w:color="000000"/>
              <w:left w:val="single" w:sz="8" w:space="0" w:color="000000"/>
              <w:bottom w:val="single" w:sz="6" w:space="0" w:color="000000"/>
              <w:right w:val="single" w:sz="8" w:space="0" w:color="000000"/>
            </w:tcBorders>
            <w:shd w:val="clear" w:color="auto" w:fill="F2F2F2"/>
            <w:vAlign w:val="center"/>
            <w:hideMark/>
          </w:tcPr>
          <w:p w:rsidR="00467DFC" w:rsidRDefault="002563D0">
            <w:pPr>
              <w:widowControl w:val="0"/>
              <w:autoSpaceDE w:val="0"/>
              <w:autoSpaceDN w:val="0"/>
              <w:adjustRightInd w:val="0"/>
              <w:rPr>
                <w:color w:val="000000"/>
                <w:sz w:val="20"/>
                <w:lang w:val="en-US" w:eastAsia="zh-CN"/>
              </w:rPr>
            </w:pPr>
            <w:proofErr w:type="spellStart"/>
            <w:r w:rsidRPr="002563D0">
              <w:rPr>
                <w:b/>
                <w:bCs/>
                <w:color w:val="000000"/>
                <w:sz w:val="20"/>
                <w:lang w:val="en-US" w:eastAsia="zh-CN"/>
              </w:rPr>
              <w:t>Organiza</w:t>
            </w:r>
            <w:r w:rsidR="00557707">
              <w:rPr>
                <w:b/>
                <w:bCs/>
                <w:color w:val="000000"/>
                <w:sz w:val="20"/>
                <w:lang w:val="en-US" w:eastAsia="zh-CN"/>
              </w:rPr>
              <w:t>-</w:t>
            </w:r>
            <w:r w:rsidRPr="002563D0">
              <w:rPr>
                <w:b/>
                <w:bCs/>
                <w:color w:val="000000"/>
                <w:sz w:val="20"/>
                <w:lang w:val="en-US" w:eastAsia="zh-CN"/>
              </w:rPr>
              <w:t>tion</w:t>
            </w:r>
            <w:r w:rsidR="00557707">
              <w:rPr>
                <w:b/>
                <w:bCs/>
                <w:color w:val="000000"/>
                <w:sz w:val="20"/>
                <w:lang w:val="en-US" w:eastAsia="zh-CN"/>
              </w:rPr>
              <w:t>s</w:t>
            </w:r>
            <w:proofErr w:type="spellEnd"/>
            <w:r w:rsidRPr="002563D0">
              <w:rPr>
                <w:b/>
                <w:bCs/>
                <w:color w:val="000000"/>
                <w:sz w:val="20"/>
                <w:lang w:val="en-US" w:eastAsia="zh-CN"/>
              </w:rPr>
              <w:t xml:space="preserve"> </w:t>
            </w:r>
          </w:p>
        </w:tc>
        <w:tc>
          <w:tcPr>
            <w:tcW w:w="995" w:type="dxa"/>
            <w:tcBorders>
              <w:top w:val="single" w:sz="6" w:space="0" w:color="000000"/>
              <w:left w:val="single" w:sz="8" w:space="0" w:color="000000"/>
              <w:bottom w:val="single" w:sz="6" w:space="0" w:color="000000"/>
              <w:right w:val="single" w:sz="8" w:space="0" w:color="000000"/>
            </w:tcBorders>
            <w:shd w:val="clear" w:color="auto" w:fill="F2F2F2"/>
            <w:vAlign w:val="center"/>
            <w:hideMark/>
          </w:tcPr>
          <w:p w:rsidR="00467DFC" w:rsidRDefault="002563D0">
            <w:pPr>
              <w:widowControl w:val="0"/>
              <w:autoSpaceDE w:val="0"/>
              <w:autoSpaceDN w:val="0"/>
              <w:adjustRightInd w:val="0"/>
              <w:rPr>
                <w:color w:val="000000"/>
                <w:sz w:val="20"/>
                <w:lang w:val="en-US" w:eastAsia="zh-CN"/>
              </w:rPr>
            </w:pPr>
            <w:r w:rsidRPr="002563D0">
              <w:rPr>
                <w:b/>
                <w:bCs/>
                <w:color w:val="000000"/>
                <w:sz w:val="20"/>
                <w:lang w:val="en-US" w:eastAsia="zh-CN"/>
              </w:rPr>
              <w:t xml:space="preserve">UN </w:t>
            </w:r>
          </w:p>
        </w:tc>
        <w:tc>
          <w:tcPr>
            <w:tcW w:w="995" w:type="dxa"/>
            <w:tcBorders>
              <w:top w:val="single" w:sz="6" w:space="0" w:color="000000"/>
              <w:left w:val="single" w:sz="8" w:space="0" w:color="000000"/>
              <w:bottom w:val="single" w:sz="6" w:space="0" w:color="000000"/>
              <w:right w:val="single" w:sz="8" w:space="0" w:color="000000"/>
            </w:tcBorders>
            <w:shd w:val="clear" w:color="auto" w:fill="F2F2F2"/>
            <w:vAlign w:val="center"/>
            <w:hideMark/>
          </w:tcPr>
          <w:p w:rsidR="00467DFC" w:rsidRDefault="002563D0">
            <w:pPr>
              <w:widowControl w:val="0"/>
              <w:autoSpaceDE w:val="0"/>
              <w:autoSpaceDN w:val="0"/>
              <w:adjustRightInd w:val="0"/>
              <w:rPr>
                <w:color w:val="000000"/>
                <w:sz w:val="20"/>
                <w:lang w:val="en-US" w:eastAsia="zh-CN"/>
              </w:rPr>
            </w:pPr>
            <w:r w:rsidRPr="002563D0">
              <w:rPr>
                <w:b/>
                <w:bCs/>
                <w:color w:val="000000"/>
                <w:sz w:val="20"/>
                <w:lang w:val="en-US" w:eastAsia="zh-CN"/>
              </w:rPr>
              <w:t xml:space="preserve">ILO </w:t>
            </w:r>
          </w:p>
        </w:tc>
        <w:tc>
          <w:tcPr>
            <w:tcW w:w="995" w:type="dxa"/>
            <w:tcBorders>
              <w:top w:val="single" w:sz="6" w:space="0" w:color="000000"/>
              <w:left w:val="single" w:sz="8" w:space="0" w:color="000000"/>
              <w:bottom w:val="single" w:sz="6" w:space="0" w:color="000000"/>
              <w:right w:val="single" w:sz="8" w:space="0" w:color="000000"/>
            </w:tcBorders>
            <w:shd w:val="clear" w:color="auto" w:fill="F2F2F2"/>
            <w:vAlign w:val="center"/>
            <w:hideMark/>
          </w:tcPr>
          <w:p w:rsidR="00467DFC" w:rsidRDefault="002563D0">
            <w:pPr>
              <w:widowControl w:val="0"/>
              <w:autoSpaceDE w:val="0"/>
              <w:autoSpaceDN w:val="0"/>
              <w:adjustRightInd w:val="0"/>
              <w:rPr>
                <w:color w:val="000000"/>
                <w:sz w:val="20"/>
                <w:lang w:val="en-US" w:eastAsia="zh-CN"/>
              </w:rPr>
            </w:pPr>
            <w:r w:rsidRPr="002563D0">
              <w:rPr>
                <w:b/>
                <w:bCs/>
                <w:color w:val="000000"/>
                <w:sz w:val="20"/>
                <w:lang w:val="en-US" w:eastAsia="zh-CN"/>
              </w:rPr>
              <w:t xml:space="preserve">FAO </w:t>
            </w:r>
          </w:p>
        </w:tc>
        <w:tc>
          <w:tcPr>
            <w:tcW w:w="1126" w:type="dxa"/>
            <w:tcBorders>
              <w:top w:val="single" w:sz="6" w:space="0" w:color="000000"/>
              <w:left w:val="single" w:sz="8" w:space="0" w:color="000000"/>
              <w:bottom w:val="single" w:sz="6" w:space="0" w:color="000000"/>
              <w:right w:val="single" w:sz="8" w:space="0" w:color="000000"/>
            </w:tcBorders>
            <w:shd w:val="clear" w:color="auto" w:fill="F2F2F2"/>
            <w:vAlign w:val="center"/>
            <w:hideMark/>
          </w:tcPr>
          <w:p w:rsidR="00467DFC" w:rsidRDefault="002563D0">
            <w:pPr>
              <w:widowControl w:val="0"/>
              <w:autoSpaceDE w:val="0"/>
              <w:autoSpaceDN w:val="0"/>
              <w:adjustRightInd w:val="0"/>
              <w:rPr>
                <w:color w:val="000000"/>
                <w:sz w:val="20"/>
                <w:lang w:val="en-US" w:eastAsia="zh-CN"/>
              </w:rPr>
            </w:pPr>
            <w:r w:rsidRPr="002563D0">
              <w:rPr>
                <w:b/>
                <w:bCs/>
                <w:color w:val="000000"/>
                <w:sz w:val="20"/>
                <w:lang w:val="en-US" w:eastAsia="zh-CN"/>
              </w:rPr>
              <w:t>UNESCO</w:t>
            </w:r>
          </w:p>
        </w:tc>
        <w:tc>
          <w:tcPr>
            <w:tcW w:w="851" w:type="dxa"/>
            <w:tcBorders>
              <w:top w:val="single" w:sz="6" w:space="0" w:color="000000"/>
              <w:left w:val="single" w:sz="8" w:space="0" w:color="000000"/>
              <w:bottom w:val="single" w:sz="6" w:space="0" w:color="000000"/>
              <w:right w:val="single" w:sz="8" w:space="0" w:color="000000"/>
            </w:tcBorders>
            <w:shd w:val="clear" w:color="auto" w:fill="F2F2F2"/>
            <w:vAlign w:val="center"/>
            <w:hideMark/>
          </w:tcPr>
          <w:p w:rsidR="00467DFC" w:rsidRDefault="002563D0">
            <w:pPr>
              <w:widowControl w:val="0"/>
              <w:autoSpaceDE w:val="0"/>
              <w:autoSpaceDN w:val="0"/>
              <w:adjustRightInd w:val="0"/>
              <w:rPr>
                <w:color w:val="000000"/>
                <w:sz w:val="20"/>
                <w:lang w:val="en-US" w:eastAsia="zh-CN"/>
              </w:rPr>
            </w:pPr>
            <w:r w:rsidRPr="002563D0">
              <w:rPr>
                <w:b/>
                <w:bCs/>
                <w:color w:val="000000"/>
                <w:sz w:val="20"/>
                <w:lang w:val="en-US" w:eastAsia="zh-CN"/>
              </w:rPr>
              <w:t xml:space="preserve">ICAO </w:t>
            </w:r>
          </w:p>
        </w:tc>
        <w:tc>
          <w:tcPr>
            <w:tcW w:w="1008" w:type="dxa"/>
            <w:tcBorders>
              <w:top w:val="single" w:sz="6" w:space="0" w:color="000000"/>
              <w:left w:val="single" w:sz="8" w:space="0" w:color="000000"/>
              <w:bottom w:val="single" w:sz="6" w:space="0" w:color="000000"/>
              <w:right w:val="single" w:sz="8" w:space="0" w:color="000000"/>
            </w:tcBorders>
            <w:shd w:val="clear" w:color="auto" w:fill="F2F2F2"/>
            <w:vAlign w:val="center"/>
            <w:hideMark/>
          </w:tcPr>
          <w:p w:rsidR="00467DFC" w:rsidRDefault="002563D0">
            <w:pPr>
              <w:widowControl w:val="0"/>
              <w:autoSpaceDE w:val="0"/>
              <w:autoSpaceDN w:val="0"/>
              <w:adjustRightInd w:val="0"/>
              <w:rPr>
                <w:color w:val="000000"/>
                <w:sz w:val="20"/>
                <w:lang w:val="en-US" w:eastAsia="zh-CN"/>
              </w:rPr>
            </w:pPr>
            <w:r w:rsidRPr="002563D0">
              <w:rPr>
                <w:b/>
                <w:bCs/>
                <w:color w:val="000000"/>
                <w:sz w:val="20"/>
                <w:lang w:val="en-US" w:eastAsia="zh-CN"/>
              </w:rPr>
              <w:t xml:space="preserve">WHO </w:t>
            </w:r>
          </w:p>
        </w:tc>
        <w:tc>
          <w:tcPr>
            <w:tcW w:w="996" w:type="dxa"/>
            <w:tcBorders>
              <w:top w:val="single" w:sz="6" w:space="0" w:color="000000"/>
              <w:left w:val="single" w:sz="8" w:space="0" w:color="000000"/>
              <w:bottom w:val="single" w:sz="6" w:space="0" w:color="000000"/>
              <w:right w:val="single" w:sz="8" w:space="0" w:color="000000"/>
            </w:tcBorders>
            <w:shd w:val="clear" w:color="auto" w:fill="F2F2F2"/>
            <w:vAlign w:val="center"/>
            <w:hideMark/>
          </w:tcPr>
          <w:p w:rsidR="00467DFC" w:rsidRDefault="002563D0">
            <w:pPr>
              <w:widowControl w:val="0"/>
              <w:autoSpaceDE w:val="0"/>
              <w:autoSpaceDN w:val="0"/>
              <w:adjustRightInd w:val="0"/>
              <w:rPr>
                <w:color w:val="000000"/>
                <w:sz w:val="20"/>
                <w:lang w:val="en-US" w:eastAsia="zh-CN"/>
              </w:rPr>
            </w:pPr>
            <w:r w:rsidRPr="002563D0">
              <w:rPr>
                <w:b/>
                <w:bCs/>
                <w:color w:val="000000"/>
                <w:sz w:val="20"/>
                <w:lang w:val="en-US" w:eastAsia="zh-CN"/>
              </w:rPr>
              <w:t xml:space="preserve">UPU </w:t>
            </w:r>
          </w:p>
        </w:tc>
        <w:tc>
          <w:tcPr>
            <w:tcW w:w="995" w:type="dxa"/>
            <w:tcBorders>
              <w:top w:val="single" w:sz="6" w:space="0" w:color="000000"/>
              <w:left w:val="single" w:sz="8" w:space="0" w:color="000000"/>
              <w:bottom w:val="single" w:sz="6" w:space="0" w:color="000000"/>
              <w:right w:val="single" w:sz="8" w:space="0" w:color="000000"/>
            </w:tcBorders>
            <w:shd w:val="clear" w:color="auto" w:fill="F2F2F2"/>
            <w:vAlign w:val="center"/>
            <w:hideMark/>
          </w:tcPr>
          <w:p w:rsidR="00467DFC" w:rsidRDefault="002563D0">
            <w:pPr>
              <w:widowControl w:val="0"/>
              <w:autoSpaceDE w:val="0"/>
              <w:autoSpaceDN w:val="0"/>
              <w:adjustRightInd w:val="0"/>
              <w:rPr>
                <w:color w:val="000000"/>
                <w:sz w:val="20"/>
                <w:lang w:val="en-US" w:eastAsia="zh-CN"/>
              </w:rPr>
            </w:pPr>
            <w:r w:rsidRPr="002563D0">
              <w:rPr>
                <w:b/>
                <w:bCs/>
                <w:color w:val="000000"/>
                <w:sz w:val="20"/>
                <w:lang w:val="en-US" w:eastAsia="zh-CN"/>
              </w:rPr>
              <w:t xml:space="preserve">ITU </w:t>
            </w:r>
          </w:p>
        </w:tc>
        <w:tc>
          <w:tcPr>
            <w:tcW w:w="995" w:type="dxa"/>
            <w:tcBorders>
              <w:top w:val="single" w:sz="6" w:space="0" w:color="000000"/>
              <w:left w:val="single" w:sz="8" w:space="0" w:color="000000"/>
              <w:bottom w:val="single" w:sz="6" w:space="0" w:color="000000"/>
              <w:right w:val="single" w:sz="8" w:space="0" w:color="000000"/>
            </w:tcBorders>
            <w:shd w:val="clear" w:color="auto" w:fill="F2F2F2"/>
            <w:vAlign w:val="center"/>
            <w:hideMark/>
          </w:tcPr>
          <w:p w:rsidR="00467DFC" w:rsidRDefault="002563D0">
            <w:pPr>
              <w:widowControl w:val="0"/>
              <w:autoSpaceDE w:val="0"/>
              <w:autoSpaceDN w:val="0"/>
              <w:adjustRightInd w:val="0"/>
              <w:rPr>
                <w:color w:val="000000"/>
                <w:sz w:val="20"/>
                <w:lang w:val="en-US" w:eastAsia="zh-CN"/>
              </w:rPr>
            </w:pPr>
            <w:r w:rsidRPr="002563D0">
              <w:rPr>
                <w:b/>
                <w:bCs/>
                <w:color w:val="000000"/>
                <w:sz w:val="20"/>
                <w:lang w:val="en-US" w:eastAsia="zh-CN"/>
              </w:rPr>
              <w:t xml:space="preserve">WMO </w:t>
            </w:r>
          </w:p>
        </w:tc>
        <w:tc>
          <w:tcPr>
            <w:tcW w:w="995" w:type="dxa"/>
            <w:tcBorders>
              <w:top w:val="single" w:sz="6" w:space="0" w:color="000000"/>
              <w:left w:val="single" w:sz="8" w:space="0" w:color="000000"/>
              <w:bottom w:val="single" w:sz="6" w:space="0" w:color="000000"/>
              <w:right w:val="single" w:sz="8" w:space="0" w:color="000000"/>
            </w:tcBorders>
            <w:shd w:val="clear" w:color="auto" w:fill="F2F2F2"/>
            <w:vAlign w:val="center"/>
            <w:hideMark/>
          </w:tcPr>
          <w:p w:rsidR="00467DFC" w:rsidRDefault="002563D0">
            <w:pPr>
              <w:widowControl w:val="0"/>
              <w:autoSpaceDE w:val="0"/>
              <w:autoSpaceDN w:val="0"/>
              <w:adjustRightInd w:val="0"/>
              <w:rPr>
                <w:color w:val="000000"/>
                <w:sz w:val="20"/>
                <w:lang w:val="en-US" w:eastAsia="zh-CN"/>
              </w:rPr>
            </w:pPr>
            <w:r w:rsidRPr="002563D0">
              <w:rPr>
                <w:b/>
                <w:bCs/>
                <w:color w:val="000000"/>
                <w:sz w:val="20"/>
                <w:lang w:val="en-US" w:eastAsia="zh-CN"/>
              </w:rPr>
              <w:t xml:space="preserve">IMO </w:t>
            </w:r>
          </w:p>
        </w:tc>
        <w:tc>
          <w:tcPr>
            <w:tcW w:w="995" w:type="dxa"/>
            <w:tcBorders>
              <w:top w:val="single" w:sz="6" w:space="0" w:color="000000"/>
              <w:left w:val="single" w:sz="8" w:space="0" w:color="000000"/>
              <w:bottom w:val="single" w:sz="6" w:space="0" w:color="000000"/>
              <w:right w:val="single" w:sz="8" w:space="0" w:color="000000"/>
            </w:tcBorders>
            <w:shd w:val="clear" w:color="auto" w:fill="F2F2F2"/>
            <w:vAlign w:val="center"/>
            <w:hideMark/>
          </w:tcPr>
          <w:p w:rsidR="00467DFC" w:rsidRDefault="002563D0">
            <w:pPr>
              <w:widowControl w:val="0"/>
              <w:autoSpaceDE w:val="0"/>
              <w:autoSpaceDN w:val="0"/>
              <w:adjustRightInd w:val="0"/>
              <w:rPr>
                <w:color w:val="000000"/>
                <w:sz w:val="20"/>
                <w:lang w:val="en-US" w:eastAsia="zh-CN"/>
              </w:rPr>
            </w:pPr>
            <w:r w:rsidRPr="002563D0">
              <w:rPr>
                <w:b/>
                <w:bCs/>
                <w:color w:val="000000"/>
                <w:sz w:val="20"/>
                <w:lang w:val="en-US" w:eastAsia="zh-CN"/>
              </w:rPr>
              <w:t xml:space="preserve">WIPO </w:t>
            </w:r>
          </w:p>
        </w:tc>
        <w:tc>
          <w:tcPr>
            <w:tcW w:w="995" w:type="dxa"/>
            <w:tcBorders>
              <w:top w:val="single" w:sz="6" w:space="0" w:color="000000"/>
              <w:left w:val="single" w:sz="8" w:space="0" w:color="000000"/>
              <w:bottom w:val="single" w:sz="6" w:space="0" w:color="000000"/>
              <w:right w:val="single" w:sz="8" w:space="0" w:color="000000"/>
            </w:tcBorders>
            <w:shd w:val="clear" w:color="auto" w:fill="F2F2F2"/>
            <w:vAlign w:val="center"/>
            <w:hideMark/>
          </w:tcPr>
          <w:p w:rsidR="00467DFC" w:rsidRDefault="002563D0">
            <w:pPr>
              <w:widowControl w:val="0"/>
              <w:autoSpaceDE w:val="0"/>
              <w:autoSpaceDN w:val="0"/>
              <w:adjustRightInd w:val="0"/>
              <w:rPr>
                <w:color w:val="000000"/>
                <w:sz w:val="20"/>
                <w:lang w:val="en-US" w:eastAsia="zh-CN"/>
              </w:rPr>
            </w:pPr>
            <w:r w:rsidRPr="002563D0">
              <w:rPr>
                <w:b/>
                <w:bCs/>
                <w:color w:val="000000"/>
                <w:sz w:val="20"/>
                <w:lang w:val="en-US" w:eastAsia="zh-CN"/>
              </w:rPr>
              <w:t xml:space="preserve">UNIDO </w:t>
            </w:r>
          </w:p>
        </w:tc>
        <w:tc>
          <w:tcPr>
            <w:tcW w:w="995" w:type="dxa"/>
            <w:tcBorders>
              <w:top w:val="single" w:sz="6" w:space="0" w:color="000000"/>
              <w:left w:val="single" w:sz="8" w:space="0" w:color="000000"/>
              <w:bottom w:val="single" w:sz="6" w:space="0" w:color="000000"/>
              <w:right w:val="single" w:sz="8" w:space="0" w:color="000000"/>
            </w:tcBorders>
            <w:shd w:val="clear" w:color="auto" w:fill="F2F2F2"/>
            <w:vAlign w:val="center"/>
            <w:hideMark/>
          </w:tcPr>
          <w:p w:rsidR="00467DFC" w:rsidRDefault="002563D0">
            <w:pPr>
              <w:widowControl w:val="0"/>
              <w:autoSpaceDE w:val="0"/>
              <w:autoSpaceDN w:val="0"/>
              <w:adjustRightInd w:val="0"/>
              <w:rPr>
                <w:color w:val="000000"/>
                <w:sz w:val="20"/>
                <w:lang w:val="en-US" w:eastAsia="zh-CN"/>
              </w:rPr>
            </w:pPr>
            <w:r w:rsidRPr="002563D0">
              <w:rPr>
                <w:b/>
                <w:bCs/>
                <w:color w:val="000000"/>
                <w:sz w:val="20"/>
                <w:lang w:val="en-US" w:eastAsia="zh-CN"/>
              </w:rPr>
              <w:t xml:space="preserve">IAEA </w:t>
            </w:r>
          </w:p>
        </w:tc>
        <w:tc>
          <w:tcPr>
            <w:tcW w:w="996" w:type="dxa"/>
            <w:tcBorders>
              <w:top w:val="single" w:sz="6" w:space="0" w:color="000000"/>
              <w:left w:val="single" w:sz="8" w:space="0" w:color="000000"/>
              <w:bottom w:val="single" w:sz="6" w:space="0" w:color="000000"/>
              <w:right w:val="single" w:sz="8" w:space="0" w:color="000000"/>
            </w:tcBorders>
            <w:shd w:val="clear" w:color="auto" w:fill="F2F2F2"/>
            <w:vAlign w:val="center"/>
            <w:hideMark/>
          </w:tcPr>
          <w:p w:rsidR="00467DFC" w:rsidRDefault="002563D0">
            <w:pPr>
              <w:widowControl w:val="0"/>
              <w:autoSpaceDE w:val="0"/>
              <w:autoSpaceDN w:val="0"/>
              <w:adjustRightInd w:val="0"/>
              <w:rPr>
                <w:color w:val="000000"/>
                <w:sz w:val="20"/>
                <w:lang w:val="en-US" w:eastAsia="zh-CN"/>
              </w:rPr>
            </w:pPr>
            <w:r w:rsidRPr="002563D0">
              <w:rPr>
                <w:b/>
                <w:bCs/>
                <w:color w:val="000000"/>
                <w:sz w:val="20"/>
                <w:lang w:val="en-US" w:eastAsia="zh-CN"/>
              </w:rPr>
              <w:t xml:space="preserve">WTO </w:t>
            </w:r>
          </w:p>
        </w:tc>
      </w:tr>
      <w:tr w:rsidR="00F01447" w:rsidRPr="002563D0" w:rsidTr="00D102BD">
        <w:trPr>
          <w:cantSplit/>
          <w:trHeight w:val="821"/>
        </w:trPr>
        <w:tc>
          <w:tcPr>
            <w:tcW w:w="1242" w:type="dxa"/>
            <w:tcBorders>
              <w:top w:val="single" w:sz="6" w:space="0" w:color="000000"/>
              <w:left w:val="single" w:sz="8" w:space="0" w:color="000000"/>
              <w:bottom w:val="single" w:sz="6" w:space="0" w:color="000000"/>
              <w:right w:val="single" w:sz="8" w:space="0" w:color="000000"/>
            </w:tcBorders>
            <w:hideMark/>
          </w:tcPr>
          <w:p w:rsidR="00467DFC" w:rsidRDefault="002563D0">
            <w:pPr>
              <w:widowControl w:val="0"/>
              <w:autoSpaceDE w:val="0"/>
              <w:autoSpaceDN w:val="0"/>
              <w:adjustRightInd w:val="0"/>
              <w:rPr>
                <w:color w:val="000000"/>
                <w:sz w:val="20"/>
                <w:lang w:val="en-US" w:eastAsia="zh-CN"/>
              </w:rPr>
            </w:pPr>
            <w:r w:rsidRPr="002563D0">
              <w:rPr>
                <w:b/>
                <w:bCs/>
                <w:color w:val="000000"/>
                <w:sz w:val="20"/>
                <w:lang w:val="en-US" w:eastAsia="zh-CN"/>
              </w:rPr>
              <w:t xml:space="preserve">Due dates </w:t>
            </w:r>
          </w:p>
        </w:tc>
        <w:tc>
          <w:tcPr>
            <w:tcW w:w="995"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Due within 30 days of receipt t of assessment or first day of calendar year, if later </w:t>
            </w:r>
          </w:p>
        </w:tc>
        <w:tc>
          <w:tcPr>
            <w:tcW w:w="995"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Due 1 January </w:t>
            </w:r>
          </w:p>
        </w:tc>
        <w:tc>
          <w:tcPr>
            <w:tcW w:w="995"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Due within 30 days of receipt of assessment or first day of calendar year to which it relates, whichever is later </w:t>
            </w:r>
          </w:p>
        </w:tc>
        <w:tc>
          <w:tcPr>
            <w:tcW w:w="1126"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Due within 30days receipt of assessment or first day of calendar year, if later </w:t>
            </w:r>
          </w:p>
        </w:tc>
        <w:tc>
          <w:tcPr>
            <w:tcW w:w="851"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Due within 30 days of receipt of assessment or first day of calendar year to which it relates, whichever is later </w:t>
            </w:r>
          </w:p>
        </w:tc>
        <w:tc>
          <w:tcPr>
            <w:tcW w:w="1008"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Due first day of financial year </w:t>
            </w:r>
          </w:p>
        </w:tc>
        <w:tc>
          <w:tcPr>
            <w:tcW w:w="996"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Due first day of financial year </w:t>
            </w:r>
          </w:p>
        </w:tc>
        <w:tc>
          <w:tcPr>
            <w:tcW w:w="995"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Due first day of financial year </w:t>
            </w:r>
          </w:p>
        </w:tc>
        <w:tc>
          <w:tcPr>
            <w:tcW w:w="995"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Due within 30 days of receipt of assessment or first day of calendar year, if later </w:t>
            </w:r>
          </w:p>
        </w:tc>
        <w:tc>
          <w:tcPr>
            <w:tcW w:w="995"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Due within 30days receipt of assessment or first day of calendar year, if later </w:t>
            </w:r>
          </w:p>
        </w:tc>
        <w:tc>
          <w:tcPr>
            <w:tcW w:w="995"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Due first day of financial year </w:t>
            </w:r>
          </w:p>
        </w:tc>
        <w:tc>
          <w:tcPr>
            <w:tcW w:w="995"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Due within 30 days of receipt of assessment or by first day of calendar year, if later </w:t>
            </w:r>
          </w:p>
        </w:tc>
        <w:tc>
          <w:tcPr>
            <w:tcW w:w="995"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Due within 30 days receipt of assessment or first day of calendar year, if later </w:t>
            </w:r>
          </w:p>
        </w:tc>
        <w:tc>
          <w:tcPr>
            <w:tcW w:w="996"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Due on the first day of the financial year </w:t>
            </w:r>
          </w:p>
        </w:tc>
      </w:tr>
      <w:tr w:rsidR="00F01447" w:rsidRPr="002563D0" w:rsidTr="00D102BD">
        <w:trPr>
          <w:cantSplit/>
          <w:trHeight w:val="369"/>
        </w:trPr>
        <w:tc>
          <w:tcPr>
            <w:tcW w:w="1242" w:type="dxa"/>
            <w:tcBorders>
              <w:top w:val="single" w:sz="6" w:space="0" w:color="000000"/>
              <w:left w:val="single" w:sz="8" w:space="0" w:color="000000"/>
              <w:bottom w:val="single" w:sz="6" w:space="0" w:color="000000"/>
              <w:right w:val="single" w:sz="8" w:space="0" w:color="000000"/>
            </w:tcBorders>
            <w:hideMark/>
          </w:tcPr>
          <w:p w:rsidR="00467DFC" w:rsidRDefault="002563D0">
            <w:pPr>
              <w:widowControl w:val="0"/>
              <w:autoSpaceDE w:val="0"/>
              <w:autoSpaceDN w:val="0"/>
              <w:adjustRightInd w:val="0"/>
              <w:rPr>
                <w:color w:val="000000"/>
                <w:sz w:val="20"/>
                <w:szCs w:val="22"/>
                <w:lang w:val="en-US" w:eastAsia="zh-CN"/>
              </w:rPr>
            </w:pPr>
            <w:r w:rsidRPr="002563D0">
              <w:rPr>
                <w:b/>
                <w:bCs/>
                <w:color w:val="000000"/>
                <w:sz w:val="20"/>
                <w:lang w:val="en-US" w:eastAsia="zh-CN"/>
              </w:rPr>
              <w:t xml:space="preserve">Definition of arrears </w:t>
            </w:r>
          </w:p>
        </w:tc>
        <w:tc>
          <w:tcPr>
            <w:tcW w:w="995"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One year  in arrears as of 1 January following year </w:t>
            </w:r>
          </w:p>
        </w:tc>
        <w:tc>
          <w:tcPr>
            <w:tcW w:w="995"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In arrears if not paid by31 December </w:t>
            </w:r>
          </w:p>
        </w:tc>
        <w:tc>
          <w:tcPr>
            <w:tcW w:w="995"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In arrears as of 1 January following year </w:t>
            </w:r>
          </w:p>
        </w:tc>
        <w:tc>
          <w:tcPr>
            <w:tcW w:w="1126"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In arrears if not paid due date </w:t>
            </w:r>
          </w:p>
        </w:tc>
        <w:tc>
          <w:tcPr>
            <w:tcW w:w="851"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One year in arrears as of 1 January following year </w:t>
            </w:r>
          </w:p>
        </w:tc>
        <w:tc>
          <w:tcPr>
            <w:tcW w:w="1008"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In arrears if not paid by1 January </w:t>
            </w:r>
          </w:p>
        </w:tc>
        <w:tc>
          <w:tcPr>
            <w:tcW w:w="996"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In arrears if not paid by due date </w:t>
            </w:r>
          </w:p>
        </w:tc>
        <w:tc>
          <w:tcPr>
            <w:tcW w:w="995"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In arrears if more than one year </w:t>
            </w:r>
          </w:p>
        </w:tc>
        <w:tc>
          <w:tcPr>
            <w:tcW w:w="995"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One year in arrears as of1 January following year </w:t>
            </w:r>
          </w:p>
        </w:tc>
        <w:tc>
          <w:tcPr>
            <w:tcW w:w="995"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In arrears if more than one year from due date </w:t>
            </w:r>
          </w:p>
        </w:tc>
        <w:tc>
          <w:tcPr>
            <w:tcW w:w="995"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In arrears if not paid by due date </w:t>
            </w:r>
          </w:p>
        </w:tc>
        <w:tc>
          <w:tcPr>
            <w:tcW w:w="995"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One year in arrears as of1 January following year </w:t>
            </w:r>
          </w:p>
        </w:tc>
        <w:tc>
          <w:tcPr>
            <w:tcW w:w="995"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One year in arrears as of1 January following year </w:t>
            </w:r>
          </w:p>
        </w:tc>
        <w:tc>
          <w:tcPr>
            <w:tcW w:w="996"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One year in arrears as of</w:t>
            </w:r>
            <w:r w:rsidR="007E61F5">
              <w:rPr>
                <w:color w:val="000000"/>
                <w:sz w:val="18"/>
                <w:szCs w:val="18"/>
                <w:lang w:val="en-US" w:eastAsia="zh-CN"/>
              </w:rPr>
              <w:t xml:space="preserve"> </w:t>
            </w:r>
            <w:r w:rsidRPr="00A409C1">
              <w:rPr>
                <w:color w:val="000000"/>
                <w:sz w:val="18"/>
                <w:szCs w:val="18"/>
                <w:lang w:val="en-US" w:eastAsia="zh-CN"/>
              </w:rPr>
              <w:t xml:space="preserve">1 January of the following year </w:t>
            </w:r>
          </w:p>
        </w:tc>
      </w:tr>
      <w:tr w:rsidR="00F01447" w:rsidRPr="002563D0" w:rsidTr="00D102BD">
        <w:trPr>
          <w:cantSplit/>
          <w:trHeight w:val="370"/>
        </w:trPr>
        <w:tc>
          <w:tcPr>
            <w:tcW w:w="1242" w:type="dxa"/>
            <w:tcBorders>
              <w:top w:val="single" w:sz="6" w:space="0" w:color="000000"/>
              <w:left w:val="single" w:sz="8" w:space="0" w:color="000000"/>
              <w:bottom w:val="single" w:sz="6" w:space="0" w:color="000000"/>
              <w:right w:val="single" w:sz="8" w:space="0" w:color="000000"/>
            </w:tcBorders>
            <w:hideMark/>
          </w:tcPr>
          <w:p w:rsidR="00467DFC" w:rsidRDefault="002563D0">
            <w:pPr>
              <w:widowControl w:val="0"/>
              <w:autoSpaceDE w:val="0"/>
              <w:autoSpaceDN w:val="0"/>
              <w:adjustRightInd w:val="0"/>
              <w:rPr>
                <w:color w:val="000000"/>
                <w:sz w:val="20"/>
                <w:lang w:val="en-US" w:eastAsia="zh-CN"/>
              </w:rPr>
            </w:pPr>
            <w:r w:rsidRPr="002563D0">
              <w:rPr>
                <w:b/>
                <w:bCs/>
                <w:color w:val="000000"/>
                <w:sz w:val="20"/>
                <w:lang w:val="en-US" w:eastAsia="zh-CN"/>
              </w:rPr>
              <w:t xml:space="preserve">Time period to trigger </w:t>
            </w:r>
            <w:r w:rsidR="00D62AE2">
              <w:rPr>
                <w:b/>
                <w:bCs/>
                <w:color w:val="000000"/>
                <w:sz w:val="20"/>
                <w:lang w:val="en-US" w:eastAsia="zh-CN"/>
              </w:rPr>
              <w:t>measures</w:t>
            </w:r>
            <w:r w:rsidRPr="002563D0">
              <w:rPr>
                <w:b/>
                <w:bCs/>
                <w:color w:val="000000"/>
                <w:sz w:val="20"/>
                <w:lang w:val="en-US" w:eastAsia="zh-CN"/>
              </w:rPr>
              <w:t xml:space="preserve"> </w:t>
            </w:r>
          </w:p>
        </w:tc>
        <w:tc>
          <w:tcPr>
            <w:tcW w:w="995"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2 years </w:t>
            </w:r>
          </w:p>
        </w:tc>
        <w:tc>
          <w:tcPr>
            <w:tcW w:w="995"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2 years </w:t>
            </w:r>
          </w:p>
        </w:tc>
        <w:tc>
          <w:tcPr>
            <w:tcW w:w="995"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2 years </w:t>
            </w:r>
          </w:p>
        </w:tc>
        <w:tc>
          <w:tcPr>
            <w:tcW w:w="1126"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Current plus immediate preceding calendar year </w:t>
            </w:r>
          </w:p>
        </w:tc>
        <w:tc>
          <w:tcPr>
            <w:tcW w:w="851"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Preceding 3 years </w:t>
            </w:r>
          </w:p>
        </w:tc>
        <w:tc>
          <w:tcPr>
            <w:tcW w:w="1008"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2 years </w:t>
            </w:r>
          </w:p>
        </w:tc>
        <w:tc>
          <w:tcPr>
            <w:tcW w:w="996"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2 years </w:t>
            </w:r>
          </w:p>
        </w:tc>
        <w:tc>
          <w:tcPr>
            <w:tcW w:w="995"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2 years for loss of voting rights; Interest from due date </w:t>
            </w:r>
          </w:p>
        </w:tc>
        <w:tc>
          <w:tcPr>
            <w:tcW w:w="995"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2 years </w:t>
            </w:r>
          </w:p>
        </w:tc>
        <w:tc>
          <w:tcPr>
            <w:tcW w:w="995"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One year </w:t>
            </w:r>
          </w:p>
        </w:tc>
        <w:tc>
          <w:tcPr>
            <w:tcW w:w="995"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Preceding 2 full years not paid </w:t>
            </w:r>
          </w:p>
        </w:tc>
        <w:tc>
          <w:tcPr>
            <w:tcW w:w="995"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Preceding 2</w:t>
            </w:r>
            <w:r w:rsidR="007E61F5">
              <w:rPr>
                <w:color w:val="000000"/>
                <w:sz w:val="18"/>
                <w:szCs w:val="18"/>
                <w:lang w:val="en-US" w:eastAsia="zh-CN"/>
              </w:rPr>
              <w:t xml:space="preserve"> </w:t>
            </w:r>
            <w:r w:rsidRPr="00A409C1">
              <w:rPr>
                <w:color w:val="000000"/>
                <w:sz w:val="18"/>
                <w:szCs w:val="18"/>
                <w:lang w:val="en-US" w:eastAsia="zh-CN"/>
              </w:rPr>
              <w:t xml:space="preserve">fiscal years </w:t>
            </w:r>
          </w:p>
        </w:tc>
        <w:tc>
          <w:tcPr>
            <w:tcW w:w="995"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2 preceding years </w:t>
            </w:r>
          </w:p>
        </w:tc>
        <w:tc>
          <w:tcPr>
            <w:tcW w:w="996"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1 to 3 full years, progressive </w:t>
            </w:r>
          </w:p>
        </w:tc>
      </w:tr>
      <w:tr w:rsidR="00F01447" w:rsidRPr="002563D0" w:rsidTr="00D102BD">
        <w:trPr>
          <w:cantSplit/>
          <w:trHeight w:val="1363"/>
        </w:trPr>
        <w:tc>
          <w:tcPr>
            <w:tcW w:w="1242" w:type="dxa"/>
            <w:tcBorders>
              <w:top w:val="single" w:sz="6" w:space="0" w:color="000000"/>
              <w:left w:val="single" w:sz="8" w:space="0" w:color="000000"/>
              <w:bottom w:val="single" w:sz="6" w:space="0" w:color="000000"/>
              <w:right w:val="single" w:sz="8" w:space="0" w:color="000000"/>
            </w:tcBorders>
            <w:hideMark/>
          </w:tcPr>
          <w:p w:rsidR="00467DFC" w:rsidRDefault="002563D0">
            <w:pPr>
              <w:widowControl w:val="0"/>
              <w:autoSpaceDE w:val="0"/>
              <w:autoSpaceDN w:val="0"/>
              <w:adjustRightInd w:val="0"/>
              <w:rPr>
                <w:color w:val="000000"/>
                <w:sz w:val="20"/>
                <w:lang w:val="en-US" w:eastAsia="zh-CN"/>
              </w:rPr>
            </w:pPr>
            <w:r w:rsidRPr="002563D0">
              <w:rPr>
                <w:b/>
                <w:bCs/>
                <w:color w:val="000000"/>
                <w:sz w:val="20"/>
                <w:lang w:val="en-US" w:eastAsia="zh-CN"/>
              </w:rPr>
              <w:lastRenderedPageBreak/>
              <w:t xml:space="preserve">Type of </w:t>
            </w:r>
            <w:r w:rsidR="00D62AE2">
              <w:rPr>
                <w:b/>
                <w:bCs/>
                <w:color w:val="000000"/>
                <w:sz w:val="20"/>
                <w:lang w:val="en-US" w:eastAsia="zh-CN"/>
              </w:rPr>
              <w:t xml:space="preserve">measures </w:t>
            </w:r>
          </w:p>
        </w:tc>
        <w:tc>
          <w:tcPr>
            <w:tcW w:w="995"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Loss of voting rights </w:t>
            </w:r>
          </w:p>
        </w:tc>
        <w:tc>
          <w:tcPr>
            <w:tcW w:w="995"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Loss of voting rights </w:t>
            </w:r>
          </w:p>
        </w:tc>
        <w:tc>
          <w:tcPr>
            <w:tcW w:w="995"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Loss of voting rights, membership of Council </w:t>
            </w:r>
          </w:p>
        </w:tc>
        <w:tc>
          <w:tcPr>
            <w:tcW w:w="1126"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Loss of voting rights </w:t>
            </w:r>
          </w:p>
        </w:tc>
        <w:tc>
          <w:tcPr>
            <w:tcW w:w="851"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Loss of voting rights and share of any surplus </w:t>
            </w:r>
          </w:p>
        </w:tc>
        <w:tc>
          <w:tcPr>
            <w:tcW w:w="1008"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Loss of voting rights </w:t>
            </w:r>
          </w:p>
        </w:tc>
        <w:tc>
          <w:tcPr>
            <w:tcW w:w="996"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Loss of voting rights and eligibility to governing bodies + interest+ conversion of unpaid credits from other debt or sowed to the Union restored as arrears of that member to UPU </w:t>
            </w:r>
          </w:p>
        </w:tc>
        <w:tc>
          <w:tcPr>
            <w:tcW w:w="995"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Loss of voting rights+ interest at</w:t>
            </w:r>
            <w:r w:rsidR="00AC0309">
              <w:rPr>
                <w:color w:val="000000"/>
                <w:sz w:val="18"/>
                <w:szCs w:val="18"/>
                <w:lang w:val="en-US" w:eastAsia="zh-CN"/>
              </w:rPr>
              <w:t xml:space="preserve"> </w:t>
            </w:r>
            <w:r w:rsidRPr="00A409C1">
              <w:rPr>
                <w:color w:val="000000"/>
                <w:sz w:val="18"/>
                <w:szCs w:val="18"/>
                <w:lang w:val="en-US" w:eastAsia="zh-CN"/>
              </w:rPr>
              <w:t xml:space="preserve">3-6% </w:t>
            </w:r>
          </w:p>
        </w:tc>
        <w:tc>
          <w:tcPr>
            <w:tcW w:w="995"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Loss of voting rights+ publications+ ineligibility election </w:t>
            </w:r>
          </w:p>
        </w:tc>
        <w:tc>
          <w:tcPr>
            <w:tcW w:w="995"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Loss of voting rights+ ineligibility election </w:t>
            </w:r>
          </w:p>
        </w:tc>
        <w:tc>
          <w:tcPr>
            <w:tcW w:w="995"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Loss of voting rights </w:t>
            </w:r>
          </w:p>
        </w:tc>
        <w:tc>
          <w:tcPr>
            <w:tcW w:w="995"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Loss of voting rights </w:t>
            </w:r>
          </w:p>
        </w:tc>
        <w:tc>
          <w:tcPr>
            <w:tcW w:w="995"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Loss of voting rights </w:t>
            </w:r>
          </w:p>
        </w:tc>
        <w:tc>
          <w:tcPr>
            <w:tcW w:w="996" w:type="dxa"/>
            <w:tcBorders>
              <w:top w:val="single" w:sz="6" w:space="0" w:color="000000"/>
              <w:left w:val="single" w:sz="8" w:space="0" w:color="000000"/>
              <w:bottom w:val="single" w:sz="6" w:space="0" w:color="000000"/>
              <w:right w:val="single" w:sz="8" w:space="0" w:color="000000"/>
            </w:tcBorders>
            <w:hideMark/>
          </w:tcPr>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Sanctions progressive:</w:t>
            </w:r>
          </w:p>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-documentation</w:t>
            </w:r>
          </w:p>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representation</w:t>
            </w:r>
          </w:p>
          <w:p w:rsidR="00467DFC" w:rsidRDefault="00A409C1">
            <w:pPr>
              <w:widowControl w:val="0"/>
              <w:autoSpaceDE w:val="0"/>
              <w:autoSpaceDN w:val="0"/>
              <w:adjustRightInd w:val="0"/>
              <w:rPr>
                <w:color w:val="000000"/>
                <w:sz w:val="18"/>
                <w:szCs w:val="18"/>
                <w:lang w:val="en-US" w:eastAsia="zh-CN"/>
              </w:rPr>
            </w:pPr>
            <w:r w:rsidRPr="00A409C1">
              <w:rPr>
                <w:color w:val="000000"/>
                <w:sz w:val="18"/>
                <w:szCs w:val="18"/>
                <w:lang w:val="en-US" w:eastAsia="zh-CN"/>
              </w:rPr>
              <w:t xml:space="preserve">- loss of training and technical assistance </w:t>
            </w:r>
          </w:p>
        </w:tc>
      </w:tr>
    </w:tbl>
    <w:p w:rsidR="002563D0" w:rsidRPr="002563D0" w:rsidRDefault="002563D0" w:rsidP="002563D0">
      <w:pPr>
        <w:ind w:right="-476" w:firstLine="1134"/>
        <w:rPr>
          <w:rFonts w:eastAsia="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5966"/>
        <w:gridCol w:w="1550"/>
        <w:gridCol w:w="5954"/>
      </w:tblGrid>
      <w:tr w:rsidR="00AC0309" w:rsidRPr="002563D0" w:rsidTr="00FA2D1D">
        <w:trPr>
          <w:trHeight w:val="340"/>
        </w:trPr>
        <w:tc>
          <w:tcPr>
            <w:tcW w:w="1097" w:type="dxa"/>
            <w:tcBorders>
              <w:top w:val="single" w:sz="4" w:space="0" w:color="auto"/>
              <w:left w:val="single" w:sz="4" w:space="0" w:color="auto"/>
              <w:bottom w:val="single" w:sz="4" w:space="0" w:color="auto"/>
              <w:right w:val="single" w:sz="4" w:space="0" w:color="auto"/>
            </w:tcBorders>
            <w:vAlign w:val="center"/>
            <w:hideMark/>
          </w:tcPr>
          <w:p w:rsidR="00AC0309" w:rsidRPr="00AC0309" w:rsidRDefault="00AC0309" w:rsidP="00AC0309">
            <w:pPr>
              <w:rPr>
                <w:rFonts w:eastAsia="Calibri"/>
                <w:sz w:val="20"/>
              </w:rPr>
            </w:pPr>
            <w:r w:rsidRPr="00AC0309">
              <w:rPr>
                <w:rFonts w:eastAsia="Calibri"/>
                <w:sz w:val="20"/>
              </w:rPr>
              <w:t>ILO</w:t>
            </w:r>
          </w:p>
        </w:tc>
        <w:tc>
          <w:tcPr>
            <w:tcW w:w="5966" w:type="dxa"/>
            <w:tcBorders>
              <w:top w:val="single" w:sz="4" w:space="0" w:color="auto"/>
              <w:left w:val="single" w:sz="4" w:space="0" w:color="auto"/>
              <w:bottom w:val="single" w:sz="4" w:space="0" w:color="auto"/>
              <w:right w:val="single" w:sz="4" w:space="0" w:color="auto"/>
            </w:tcBorders>
            <w:vAlign w:val="center"/>
            <w:hideMark/>
          </w:tcPr>
          <w:p w:rsidR="00AC0309" w:rsidRPr="00AC0309" w:rsidRDefault="00AC0309" w:rsidP="00AC0309">
            <w:pPr>
              <w:rPr>
                <w:rFonts w:eastAsia="Calibri"/>
                <w:sz w:val="20"/>
              </w:rPr>
            </w:pPr>
            <w:r w:rsidRPr="00AC0309">
              <w:rPr>
                <w:rFonts w:eastAsia="Calibri"/>
                <w:sz w:val="20"/>
              </w:rPr>
              <w:t>International Labour Organisation</w:t>
            </w:r>
          </w:p>
        </w:tc>
        <w:tc>
          <w:tcPr>
            <w:tcW w:w="1550" w:type="dxa"/>
            <w:tcBorders>
              <w:top w:val="single" w:sz="4" w:space="0" w:color="auto"/>
              <w:left w:val="single" w:sz="4" w:space="0" w:color="auto"/>
              <w:bottom w:val="single" w:sz="4" w:space="0" w:color="auto"/>
              <w:right w:val="single" w:sz="4" w:space="0" w:color="auto"/>
            </w:tcBorders>
            <w:vAlign w:val="center"/>
          </w:tcPr>
          <w:p w:rsidR="00AC0309" w:rsidRPr="00AC0309" w:rsidRDefault="00AC0309" w:rsidP="00AC0309">
            <w:pPr>
              <w:rPr>
                <w:rFonts w:eastAsia="Calibri"/>
                <w:sz w:val="20"/>
              </w:rPr>
            </w:pPr>
            <w:r w:rsidRPr="00AC0309">
              <w:rPr>
                <w:rFonts w:eastAsia="Calibri"/>
                <w:sz w:val="20"/>
              </w:rPr>
              <w:t>WMO</w:t>
            </w:r>
          </w:p>
        </w:tc>
        <w:tc>
          <w:tcPr>
            <w:tcW w:w="5954" w:type="dxa"/>
            <w:tcBorders>
              <w:top w:val="single" w:sz="4" w:space="0" w:color="auto"/>
              <w:left w:val="single" w:sz="4" w:space="0" w:color="auto"/>
              <w:bottom w:val="single" w:sz="4" w:space="0" w:color="auto"/>
              <w:right w:val="single" w:sz="4" w:space="0" w:color="auto"/>
            </w:tcBorders>
            <w:vAlign w:val="center"/>
          </w:tcPr>
          <w:p w:rsidR="00AC0309" w:rsidRPr="00AC0309" w:rsidRDefault="00AC0309" w:rsidP="00AC0309">
            <w:pPr>
              <w:rPr>
                <w:rFonts w:eastAsia="Calibri"/>
                <w:sz w:val="20"/>
              </w:rPr>
            </w:pPr>
            <w:r w:rsidRPr="00AC0309">
              <w:rPr>
                <w:rFonts w:eastAsia="Calibri"/>
                <w:sz w:val="20"/>
              </w:rPr>
              <w:t>World Meteorological Organisation</w:t>
            </w:r>
          </w:p>
        </w:tc>
      </w:tr>
      <w:tr w:rsidR="00AC0309" w:rsidRPr="002563D0" w:rsidTr="00FA2D1D">
        <w:trPr>
          <w:trHeight w:val="340"/>
        </w:trPr>
        <w:tc>
          <w:tcPr>
            <w:tcW w:w="1097" w:type="dxa"/>
            <w:tcBorders>
              <w:top w:val="single" w:sz="4" w:space="0" w:color="auto"/>
              <w:left w:val="single" w:sz="4" w:space="0" w:color="auto"/>
              <w:bottom w:val="single" w:sz="4" w:space="0" w:color="auto"/>
              <w:right w:val="single" w:sz="4" w:space="0" w:color="auto"/>
            </w:tcBorders>
            <w:vAlign w:val="center"/>
            <w:hideMark/>
          </w:tcPr>
          <w:p w:rsidR="00AC0309" w:rsidRPr="00AC0309" w:rsidRDefault="00AC0309" w:rsidP="00AC0309">
            <w:pPr>
              <w:rPr>
                <w:rFonts w:eastAsia="Calibri"/>
                <w:sz w:val="20"/>
              </w:rPr>
            </w:pPr>
            <w:r w:rsidRPr="00AC0309">
              <w:rPr>
                <w:rFonts w:eastAsia="Calibri"/>
                <w:sz w:val="20"/>
              </w:rPr>
              <w:t>FAO</w:t>
            </w:r>
          </w:p>
        </w:tc>
        <w:tc>
          <w:tcPr>
            <w:tcW w:w="5966" w:type="dxa"/>
            <w:tcBorders>
              <w:top w:val="single" w:sz="4" w:space="0" w:color="auto"/>
              <w:left w:val="single" w:sz="4" w:space="0" w:color="auto"/>
              <w:bottom w:val="single" w:sz="4" w:space="0" w:color="auto"/>
              <w:right w:val="single" w:sz="4" w:space="0" w:color="auto"/>
            </w:tcBorders>
            <w:vAlign w:val="center"/>
            <w:hideMark/>
          </w:tcPr>
          <w:p w:rsidR="00AC0309" w:rsidRPr="00AC0309" w:rsidRDefault="00AC0309" w:rsidP="00AC0309">
            <w:pPr>
              <w:rPr>
                <w:rFonts w:eastAsia="Calibri"/>
                <w:sz w:val="20"/>
              </w:rPr>
            </w:pPr>
            <w:r w:rsidRPr="00AC0309">
              <w:rPr>
                <w:rFonts w:eastAsia="Calibri"/>
                <w:sz w:val="20"/>
              </w:rPr>
              <w:t>Food and Agricultural Organisation</w:t>
            </w:r>
          </w:p>
        </w:tc>
        <w:tc>
          <w:tcPr>
            <w:tcW w:w="1550" w:type="dxa"/>
            <w:tcBorders>
              <w:top w:val="single" w:sz="4" w:space="0" w:color="auto"/>
              <w:left w:val="single" w:sz="4" w:space="0" w:color="auto"/>
              <w:bottom w:val="single" w:sz="4" w:space="0" w:color="auto"/>
              <w:right w:val="single" w:sz="4" w:space="0" w:color="auto"/>
            </w:tcBorders>
            <w:vAlign w:val="center"/>
          </w:tcPr>
          <w:p w:rsidR="00AC0309" w:rsidRPr="00AC0309" w:rsidRDefault="00AC0309" w:rsidP="00AC0309">
            <w:pPr>
              <w:rPr>
                <w:rFonts w:eastAsia="Calibri"/>
                <w:sz w:val="20"/>
              </w:rPr>
            </w:pPr>
            <w:r w:rsidRPr="00AC0309">
              <w:rPr>
                <w:rFonts w:eastAsia="Calibri"/>
                <w:sz w:val="20"/>
              </w:rPr>
              <w:t>IMO</w:t>
            </w:r>
          </w:p>
        </w:tc>
        <w:tc>
          <w:tcPr>
            <w:tcW w:w="5954" w:type="dxa"/>
            <w:tcBorders>
              <w:top w:val="single" w:sz="4" w:space="0" w:color="auto"/>
              <w:left w:val="single" w:sz="4" w:space="0" w:color="auto"/>
              <w:bottom w:val="single" w:sz="4" w:space="0" w:color="auto"/>
              <w:right w:val="single" w:sz="4" w:space="0" w:color="auto"/>
            </w:tcBorders>
            <w:vAlign w:val="center"/>
          </w:tcPr>
          <w:p w:rsidR="00AC0309" w:rsidRPr="00AC0309" w:rsidRDefault="00AC0309" w:rsidP="00AC0309">
            <w:pPr>
              <w:rPr>
                <w:rFonts w:eastAsia="Calibri"/>
                <w:sz w:val="20"/>
              </w:rPr>
            </w:pPr>
            <w:r w:rsidRPr="00AC0309">
              <w:rPr>
                <w:rFonts w:eastAsia="Calibri"/>
                <w:sz w:val="20"/>
              </w:rPr>
              <w:t>International Migration Organisation</w:t>
            </w:r>
          </w:p>
        </w:tc>
      </w:tr>
      <w:tr w:rsidR="00AC0309" w:rsidRPr="002563D0" w:rsidTr="00FA2D1D">
        <w:trPr>
          <w:trHeight w:val="340"/>
        </w:trPr>
        <w:tc>
          <w:tcPr>
            <w:tcW w:w="1097" w:type="dxa"/>
            <w:tcBorders>
              <w:top w:val="single" w:sz="4" w:space="0" w:color="auto"/>
              <w:left w:val="single" w:sz="4" w:space="0" w:color="auto"/>
              <w:bottom w:val="single" w:sz="4" w:space="0" w:color="auto"/>
              <w:right w:val="single" w:sz="4" w:space="0" w:color="auto"/>
            </w:tcBorders>
            <w:vAlign w:val="center"/>
            <w:hideMark/>
          </w:tcPr>
          <w:p w:rsidR="00AC0309" w:rsidRPr="00AC0309" w:rsidRDefault="00AC0309" w:rsidP="00AC0309">
            <w:pPr>
              <w:rPr>
                <w:rFonts w:eastAsia="Calibri"/>
                <w:sz w:val="20"/>
              </w:rPr>
            </w:pPr>
            <w:r w:rsidRPr="00AC0309">
              <w:rPr>
                <w:rFonts w:eastAsia="Calibri"/>
                <w:sz w:val="20"/>
              </w:rPr>
              <w:t>UNESCO</w:t>
            </w:r>
          </w:p>
        </w:tc>
        <w:tc>
          <w:tcPr>
            <w:tcW w:w="5966" w:type="dxa"/>
            <w:tcBorders>
              <w:top w:val="single" w:sz="4" w:space="0" w:color="auto"/>
              <w:left w:val="single" w:sz="4" w:space="0" w:color="auto"/>
              <w:bottom w:val="single" w:sz="4" w:space="0" w:color="auto"/>
              <w:right w:val="single" w:sz="4" w:space="0" w:color="auto"/>
            </w:tcBorders>
            <w:vAlign w:val="center"/>
            <w:hideMark/>
          </w:tcPr>
          <w:p w:rsidR="00AC0309" w:rsidRPr="00AC0309" w:rsidRDefault="00AC0309" w:rsidP="00AC0309">
            <w:pPr>
              <w:rPr>
                <w:rFonts w:eastAsia="Calibri"/>
                <w:sz w:val="20"/>
              </w:rPr>
            </w:pPr>
            <w:r w:rsidRPr="00AC0309">
              <w:rPr>
                <w:rFonts w:eastAsia="Calibri"/>
                <w:sz w:val="20"/>
              </w:rPr>
              <w:t>United Nations Educational, Scientific and Cultural Organization</w:t>
            </w:r>
          </w:p>
        </w:tc>
        <w:tc>
          <w:tcPr>
            <w:tcW w:w="1550" w:type="dxa"/>
            <w:tcBorders>
              <w:top w:val="single" w:sz="4" w:space="0" w:color="auto"/>
              <w:left w:val="single" w:sz="4" w:space="0" w:color="auto"/>
              <w:bottom w:val="single" w:sz="4" w:space="0" w:color="auto"/>
              <w:right w:val="single" w:sz="4" w:space="0" w:color="auto"/>
            </w:tcBorders>
            <w:vAlign w:val="center"/>
          </w:tcPr>
          <w:p w:rsidR="00AC0309" w:rsidRPr="00AC0309" w:rsidRDefault="00AC0309" w:rsidP="00AC0309">
            <w:pPr>
              <w:rPr>
                <w:rFonts w:eastAsia="Calibri"/>
                <w:sz w:val="20"/>
              </w:rPr>
            </w:pPr>
            <w:r w:rsidRPr="00AC0309">
              <w:rPr>
                <w:rFonts w:eastAsia="Calibri"/>
                <w:sz w:val="20"/>
              </w:rPr>
              <w:t>WIPO</w:t>
            </w:r>
          </w:p>
        </w:tc>
        <w:tc>
          <w:tcPr>
            <w:tcW w:w="5954" w:type="dxa"/>
            <w:tcBorders>
              <w:top w:val="single" w:sz="4" w:space="0" w:color="auto"/>
              <w:left w:val="single" w:sz="4" w:space="0" w:color="auto"/>
              <w:bottom w:val="single" w:sz="4" w:space="0" w:color="auto"/>
              <w:right w:val="single" w:sz="4" w:space="0" w:color="auto"/>
            </w:tcBorders>
            <w:vAlign w:val="center"/>
          </w:tcPr>
          <w:p w:rsidR="00AC0309" w:rsidRPr="00AC0309" w:rsidRDefault="00AC0309" w:rsidP="00AC0309">
            <w:pPr>
              <w:rPr>
                <w:rFonts w:eastAsia="Calibri"/>
                <w:sz w:val="20"/>
              </w:rPr>
            </w:pPr>
            <w:r w:rsidRPr="00AC0309">
              <w:rPr>
                <w:rFonts w:eastAsia="Calibri"/>
                <w:sz w:val="20"/>
              </w:rPr>
              <w:t>World Intellectual Property Organisation</w:t>
            </w:r>
          </w:p>
        </w:tc>
      </w:tr>
      <w:tr w:rsidR="00AC0309" w:rsidRPr="002563D0" w:rsidTr="00FA2D1D">
        <w:trPr>
          <w:trHeight w:val="340"/>
        </w:trPr>
        <w:tc>
          <w:tcPr>
            <w:tcW w:w="1097" w:type="dxa"/>
            <w:tcBorders>
              <w:top w:val="single" w:sz="4" w:space="0" w:color="auto"/>
              <w:left w:val="single" w:sz="4" w:space="0" w:color="auto"/>
              <w:bottom w:val="single" w:sz="4" w:space="0" w:color="auto"/>
              <w:right w:val="single" w:sz="4" w:space="0" w:color="auto"/>
            </w:tcBorders>
            <w:vAlign w:val="center"/>
            <w:hideMark/>
          </w:tcPr>
          <w:p w:rsidR="00AC0309" w:rsidRPr="00AC0309" w:rsidRDefault="00AC0309" w:rsidP="00AC0309">
            <w:pPr>
              <w:rPr>
                <w:rFonts w:eastAsia="Calibri"/>
                <w:sz w:val="20"/>
              </w:rPr>
            </w:pPr>
            <w:r w:rsidRPr="00AC0309">
              <w:rPr>
                <w:rFonts w:eastAsia="Calibri"/>
                <w:sz w:val="20"/>
              </w:rPr>
              <w:t>ICAO</w:t>
            </w:r>
          </w:p>
        </w:tc>
        <w:tc>
          <w:tcPr>
            <w:tcW w:w="5966" w:type="dxa"/>
            <w:tcBorders>
              <w:top w:val="single" w:sz="4" w:space="0" w:color="auto"/>
              <w:left w:val="single" w:sz="4" w:space="0" w:color="auto"/>
              <w:bottom w:val="single" w:sz="4" w:space="0" w:color="auto"/>
              <w:right w:val="single" w:sz="4" w:space="0" w:color="auto"/>
            </w:tcBorders>
            <w:vAlign w:val="center"/>
            <w:hideMark/>
          </w:tcPr>
          <w:p w:rsidR="00AC0309" w:rsidRPr="00AC0309" w:rsidRDefault="00AC0309" w:rsidP="00AC0309">
            <w:pPr>
              <w:rPr>
                <w:rFonts w:eastAsia="Calibri"/>
                <w:sz w:val="20"/>
              </w:rPr>
            </w:pPr>
            <w:r w:rsidRPr="00AC0309">
              <w:rPr>
                <w:rFonts w:eastAsia="Calibri"/>
                <w:sz w:val="20"/>
              </w:rPr>
              <w:t>International Civil Aviation Organisation</w:t>
            </w:r>
          </w:p>
        </w:tc>
        <w:tc>
          <w:tcPr>
            <w:tcW w:w="1550" w:type="dxa"/>
            <w:tcBorders>
              <w:top w:val="single" w:sz="4" w:space="0" w:color="auto"/>
              <w:left w:val="single" w:sz="4" w:space="0" w:color="auto"/>
              <w:bottom w:val="single" w:sz="4" w:space="0" w:color="auto"/>
              <w:right w:val="single" w:sz="4" w:space="0" w:color="auto"/>
            </w:tcBorders>
            <w:vAlign w:val="center"/>
          </w:tcPr>
          <w:p w:rsidR="00AC0309" w:rsidRPr="00AC0309" w:rsidRDefault="00AC0309" w:rsidP="00AC0309">
            <w:pPr>
              <w:rPr>
                <w:rFonts w:eastAsia="Calibri"/>
                <w:sz w:val="20"/>
              </w:rPr>
            </w:pPr>
            <w:r w:rsidRPr="00AC0309">
              <w:rPr>
                <w:rFonts w:eastAsia="Calibri"/>
                <w:sz w:val="20"/>
              </w:rPr>
              <w:t>UNIDO</w:t>
            </w:r>
          </w:p>
        </w:tc>
        <w:tc>
          <w:tcPr>
            <w:tcW w:w="5954" w:type="dxa"/>
            <w:tcBorders>
              <w:top w:val="single" w:sz="4" w:space="0" w:color="auto"/>
              <w:left w:val="single" w:sz="4" w:space="0" w:color="auto"/>
              <w:bottom w:val="single" w:sz="4" w:space="0" w:color="auto"/>
              <w:right w:val="single" w:sz="4" w:space="0" w:color="auto"/>
            </w:tcBorders>
            <w:vAlign w:val="center"/>
          </w:tcPr>
          <w:p w:rsidR="00AC0309" w:rsidRPr="00AC0309" w:rsidRDefault="00AC0309" w:rsidP="00AC0309">
            <w:pPr>
              <w:rPr>
                <w:rFonts w:eastAsia="Calibri"/>
                <w:sz w:val="20"/>
              </w:rPr>
            </w:pPr>
            <w:r w:rsidRPr="00AC0309">
              <w:rPr>
                <w:rFonts w:eastAsia="Calibri"/>
                <w:sz w:val="20"/>
              </w:rPr>
              <w:t>United Nations Industrial Development Organization</w:t>
            </w:r>
          </w:p>
        </w:tc>
      </w:tr>
      <w:tr w:rsidR="00AC0309" w:rsidRPr="002563D0" w:rsidTr="00AC0309">
        <w:trPr>
          <w:trHeight w:val="340"/>
        </w:trPr>
        <w:tc>
          <w:tcPr>
            <w:tcW w:w="1097" w:type="dxa"/>
            <w:tcBorders>
              <w:top w:val="single" w:sz="4" w:space="0" w:color="auto"/>
              <w:left w:val="single" w:sz="4" w:space="0" w:color="auto"/>
              <w:bottom w:val="single" w:sz="4" w:space="0" w:color="auto"/>
              <w:right w:val="single" w:sz="4" w:space="0" w:color="auto"/>
            </w:tcBorders>
            <w:vAlign w:val="center"/>
            <w:hideMark/>
          </w:tcPr>
          <w:p w:rsidR="00AC0309" w:rsidRPr="00AC0309" w:rsidRDefault="00A409C1" w:rsidP="00AC0309">
            <w:pPr>
              <w:spacing w:after="120"/>
              <w:ind w:left="2495" w:hanging="624"/>
              <w:rPr>
                <w:rFonts w:eastAsia="Calibri"/>
                <w:sz w:val="20"/>
              </w:rPr>
            </w:pPr>
            <w:r w:rsidRPr="00A409C1">
              <w:rPr>
                <w:rFonts w:eastAsia="Calibri"/>
                <w:sz w:val="20"/>
              </w:rPr>
              <w:t>WHO</w:t>
            </w:r>
          </w:p>
        </w:tc>
        <w:tc>
          <w:tcPr>
            <w:tcW w:w="5966" w:type="dxa"/>
            <w:tcBorders>
              <w:top w:val="single" w:sz="4" w:space="0" w:color="auto"/>
              <w:left w:val="single" w:sz="4" w:space="0" w:color="auto"/>
              <w:bottom w:val="single" w:sz="4" w:space="0" w:color="auto"/>
              <w:right w:val="single" w:sz="4" w:space="0" w:color="auto"/>
            </w:tcBorders>
            <w:vAlign w:val="center"/>
            <w:hideMark/>
          </w:tcPr>
          <w:p w:rsidR="00AC0309" w:rsidRPr="00AC0309" w:rsidRDefault="00A409C1" w:rsidP="00AC0309">
            <w:pPr>
              <w:spacing w:after="120"/>
              <w:ind w:left="2495" w:hanging="624"/>
              <w:rPr>
                <w:rFonts w:eastAsia="Calibri"/>
                <w:sz w:val="20"/>
              </w:rPr>
            </w:pPr>
            <w:r w:rsidRPr="00A409C1">
              <w:rPr>
                <w:rFonts w:eastAsia="Calibri"/>
                <w:sz w:val="20"/>
              </w:rPr>
              <w:t>World Health Organisation</w:t>
            </w:r>
          </w:p>
        </w:tc>
        <w:tc>
          <w:tcPr>
            <w:tcW w:w="1550" w:type="dxa"/>
            <w:tcBorders>
              <w:top w:val="single" w:sz="4" w:space="0" w:color="auto"/>
              <w:left w:val="single" w:sz="4" w:space="0" w:color="auto"/>
              <w:bottom w:val="single" w:sz="4" w:space="0" w:color="auto"/>
              <w:right w:val="single" w:sz="4" w:space="0" w:color="auto"/>
            </w:tcBorders>
            <w:vAlign w:val="center"/>
          </w:tcPr>
          <w:p w:rsidR="00AC0309" w:rsidRPr="00AC0309" w:rsidRDefault="00AC0309" w:rsidP="00AC0309">
            <w:pPr>
              <w:rPr>
                <w:rFonts w:eastAsia="Calibri"/>
                <w:sz w:val="20"/>
              </w:rPr>
            </w:pPr>
            <w:r w:rsidRPr="00AC0309">
              <w:rPr>
                <w:rFonts w:eastAsia="Calibri"/>
                <w:sz w:val="20"/>
              </w:rPr>
              <w:t>IAEA</w:t>
            </w:r>
          </w:p>
        </w:tc>
        <w:tc>
          <w:tcPr>
            <w:tcW w:w="5954" w:type="dxa"/>
            <w:tcBorders>
              <w:top w:val="single" w:sz="4" w:space="0" w:color="auto"/>
              <w:left w:val="single" w:sz="4" w:space="0" w:color="auto"/>
              <w:bottom w:val="single" w:sz="4" w:space="0" w:color="auto"/>
              <w:right w:val="single" w:sz="4" w:space="0" w:color="auto"/>
            </w:tcBorders>
            <w:vAlign w:val="center"/>
          </w:tcPr>
          <w:p w:rsidR="00AC0309" w:rsidRPr="00AC0309" w:rsidRDefault="00AC0309" w:rsidP="00AC0309">
            <w:pPr>
              <w:rPr>
                <w:rFonts w:eastAsia="Calibri"/>
                <w:sz w:val="20"/>
              </w:rPr>
            </w:pPr>
            <w:r w:rsidRPr="00AC0309">
              <w:rPr>
                <w:rFonts w:eastAsia="Calibri"/>
                <w:sz w:val="20"/>
              </w:rPr>
              <w:t>International Atomic Energy Agency</w:t>
            </w:r>
          </w:p>
        </w:tc>
      </w:tr>
      <w:tr w:rsidR="00AC0309" w:rsidRPr="002563D0" w:rsidTr="003B0A95">
        <w:trPr>
          <w:trHeight w:val="340"/>
        </w:trPr>
        <w:tc>
          <w:tcPr>
            <w:tcW w:w="1097" w:type="dxa"/>
            <w:tcBorders>
              <w:top w:val="single" w:sz="4" w:space="0" w:color="auto"/>
              <w:left w:val="single" w:sz="4" w:space="0" w:color="auto"/>
              <w:bottom w:val="single" w:sz="4" w:space="0" w:color="auto"/>
              <w:right w:val="single" w:sz="4" w:space="0" w:color="auto"/>
            </w:tcBorders>
            <w:vAlign w:val="center"/>
            <w:hideMark/>
          </w:tcPr>
          <w:p w:rsidR="00AC0309" w:rsidRPr="00AC0309" w:rsidRDefault="00A409C1" w:rsidP="00AC0309">
            <w:pPr>
              <w:rPr>
                <w:rFonts w:eastAsia="Calibri"/>
                <w:sz w:val="20"/>
              </w:rPr>
            </w:pPr>
            <w:r w:rsidRPr="00A409C1">
              <w:rPr>
                <w:rFonts w:eastAsia="Calibri"/>
                <w:sz w:val="20"/>
              </w:rPr>
              <w:t>UPU</w:t>
            </w:r>
          </w:p>
        </w:tc>
        <w:tc>
          <w:tcPr>
            <w:tcW w:w="5966" w:type="dxa"/>
            <w:tcBorders>
              <w:top w:val="single" w:sz="4" w:space="0" w:color="auto"/>
              <w:left w:val="single" w:sz="4" w:space="0" w:color="auto"/>
              <w:bottom w:val="single" w:sz="4" w:space="0" w:color="auto"/>
              <w:right w:val="single" w:sz="4" w:space="0" w:color="auto"/>
            </w:tcBorders>
            <w:vAlign w:val="center"/>
            <w:hideMark/>
          </w:tcPr>
          <w:p w:rsidR="00AC0309" w:rsidRPr="00AC0309" w:rsidRDefault="00A409C1" w:rsidP="00AC0309">
            <w:pPr>
              <w:rPr>
                <w:rFonts w:eastAsia="Calibri"/>
                <w:sz w:val="20"/>
              </w:rPr>
            </w:pPr>
            <w:r w:rsidRPr="00A409C1">
              <w:rPr>
                <w:rFonts w:eastAsia="Calibri"/>
                <w:sz w:val="20"/>
              </w:rPr>
              <w:t>Universal Postal Union</w:t>
            </w:r>
          </w:p>
        </w:tc>
        <w:tc>
          <w:tcPr>
            <w:tcW w:w="1550" w:type="dxa"/>
            <w:tcBorders>
              <w:top w:val="single" w:sz="4" w:space="0" w:color="auto"/>
              <w:left w:val="single" w:sz="4" w:space="0" w:color="auto"/>
              <w:bottom w:val="single" w:sz="4" w:space="0" w:color="auto"/>
              <w:right w:val="single" w:sz="4" w:space="0" w:color="auto"/>
            </w:tcBorders>
            <w:vAlign w:val="center"/>
          </w:tcPr>
          <w:p w:rsidR="00AC0309" w:rsidRPr="00AC0309" w:rsidRDefault="00AC0309" w:rsidP="00AC0309">
            <w:pPr>
              <w:rPr>
                <w:rFonts w:eastAsia="Calibri"/>
                <w:sz w:val="20"/>
              </w:rPr>
            </w:pPr>
            <w:r w:rsidRPr="00AC0309">
              <w:rPr>
                <w:rFonts w:eastAsia="Calibri"/>
                <w:sz w:val="20"/>
              </w:rPr>
              <w:t>WTO</w:t>
            </w:r>
          </w:p>
        </w:tc>
        <w:tc>
          <w:tcPr>
            <w:tcW w:w="5954" w:type="dxa"/>
            <w:tcBorders>
              <w:top w:val="single" w:sz="4" w:space="0" w:color="auto"/>
              <w:left w:val="single" w:sz="4" w:space="0" w:color="auto"/>
              <w:bottom w:val="single" w:sz="4" w:space="0" w:color="auto"/>
              <w:right w:val="single" w:sz="4" w:space="0" w:color="auto"/>
            </w:tcBorders>
            <w:vAlign w:val="center"/>
          </w:tcPr>
          <w:p w:rsidR="00AC0309" w:rsidRPr="00AC0309" w:rsidRDefault="00AC0309" w:rsidP="00AC0309">
            <w:pPr>
              <w:rPr>
                <w:rFonts w:eastAsia="Calibri"/>
                <w:sz w:val="20"/>
              </w:rPr>
            </w:pPr>
            <w:r w:rsidRPr="00AC0309">
              <w:rPr>
                <w:rFonts w:eastAsia="Calibri"/>
                <w:sz w:val="20"/>
              </w:rPr>
              <w:t>World Trade Organisation</w:t>
            </w:r>
          </w:p>
        </w:tc>
      </w:tr>
      <w:tr w:rsidR="00AC0309" w:rsidRPr="002563D0" w:rsidTr="003B0A95">
        <w:trPr>
          <w:trHeight w:val="340"/>
        </w:trPr>
        <w:tc>
          <w:tcPr>
            <w:tcW w:w="1097" w:type="dxa"/>
            <w:tcBorders>
              <w:top w:val="single" w:sz="4" w:space="0" w:color="auto"/>
              <w:left w:val="single" w:sz="4" w:space="0" w:color="auto"/>
              <w:bottom w:val="single" w:sz="4" w:space="0" w:color="000000"/>
              <w:right w:val="single" w:sz="4" w:space="0" w:color="auto"/>
            </w:tcBorders>
            <w:vAlign w:val="center"/>
            <w:hideMark/>
          </w:tcPr>
          <w:p w:rsidR="00AC0309" w:rsidRPr="00AC0309" w:rsidRDefault="00A409C1" w:rsidP="00AC0309">
            <w:pPr>
              <w:rPr>
                <w:rFonts w:eastAsia="Calibri"/>
                <w:sz w:val="20"/>
              </w:rPr>
            </w:pPr>
            <w:r w:rsidRPr="00A409C1">
              <w:rPr>
                <w:rFonts w:eastAsia="Calibri"/>
                <w:sz w:val="20"/>
              </w:rPr>
              <w:t>ITU</w:t>
            </w:r>
          </w:p>
        </w:tc>
        <w:tc>
          <w:tcPr>
            <w:tcW w:w="5966" w:type="dxa"/>
            <w:tcBorders>
              <w:top w:val="single" w:sz="4" w:space="0" w:color="auto"/>
              <w:left w:val="single" w:sz="4" w:space="0" w:color="auto"/>
              <w:bottom w:val="single" w:sz="4" w:space="0" w:color="000000"/>
              <w:right w:val="single" w:sz="4" w:space="0" w:color="auto"/>
            </w:tcBorders>
            <w:vAlign w:val="center"/>
            <w:hideMark/>
          </w:tcPr>
          <w:p w:rsidR="00AC0309" w:rsidRPr="00AC0309" w:rsidRDefault="00A409C1" w:rsidP="00AC0309">
            <w:pPr>
              <w:rPr>
                <w:rFonts w:eastAsia="Calibri"/>
                <w:sz w:val="20"/>
              </w:rPr>
            </w:pPr>
            <w:r w:rsidRPr="00A409C1">
              <w:rPr>
                <w:rFonts w:eastAsia="Calibri"/>
                <w:sz w:val="20"/>
              </w:rPr>
              <w:t>International Telecommunications Union</w:t>
            </w:r>
          </w:p>
        </w:tc>
        <w:tc>
          <w:tcPr>
            <w:tcW w:w="1550" w:type="dxa"/>
            <w:tcBorders>
              <w:top w:val="single" w:sz="4" w:space="0" w:color="auto"/>
              <w:left w:val="single" w:sz="4" w:space="0" w:color="auto"/>
              <w:bottom w:val="nil"/>
              <w:right w:val="nil"/>
            </w:tcBorders>
          </w:tcPr>
          <w:p w:rsidR="00AC0309" w:rsidRPr="00AC0309" w:rsidRDefault="00AC0309" w:rsidP="00AC0309">
            <w:pPr>
              <w:rPr>
                <w:rFonts w:eastAsia="Calibri"/>
                <w:sz w:val="20"/>
              </w:rPr>
            </w:pPr>
          </w:p>
        </w:tc>
        <w:tc>
          <w:tcPr>
            <w:tcW w:w="5954" w:type="dxa"/>
            <w:tcBorders>
              <w:top w:val="single" w:sz="4" w:space="0" w:color="auto"/>
              <w:left w:val="nil"/>
              <w:bottom w:val="nil"/>
              <w:right w:val="nil"/>
            </w:tcBorders>
          </w:tcPr>
          <w:p w:rsidR="00AC0309" w:rsidRPr="00AC0309" w:rsidRDefault="00AC0309" w:rsidP="00AC0309">
            <w:pPr>
              <w:rPr>
                <w:rFonts w:eastAsia="Calibri"/>
                <w:sz w:val="20"/>
              </w:rPr>
            </w:pPr>
          </w:p>
        </w:tc>
      </w:tr>
    </w:tbl>
    <w:p w:rsidR="002563D0" w:rsidRPr="002563D0" w:rsidRDefault="002563D0" w:rsidP="002563D0">
      <w:pPr>
        <w:spacing w:after="200" w:line="276" w:lineRule="auto"/>
        <w:rPr>
          <w:rFonts w:eastAsia="Calibri"/>
          <w:szCs w:val="22"/>
        </w:rPr>
      </w:pPr>
    </w:p>
    <w:tbl>
      <w:tblPr>
        <w:tblW w:w="0" w:type="auto"/>
        <w:jc w:val="center"/>
        <w:tblLook w:val="01E0"/>
      </w:tblPr>
      <w:tblGrid>
        <w:gridCol w:w="3238"/>
        <w:gridCol w:w="3237"/>
        <w:gridCol w:w="3237"/>
      </w:tblGrid>
      <w:tr w:rsidR="004122B7" w:rsidTr="002268AA">
        <w:trPr>
          <w:jc w:val="center"/>
        </w:trPr>
        <w:tc>
          <w:tcPr>
            <w:tcW w:w="3238" w:type="dxa"/>
          </w:tcPr>
          <w:p w:rsidR="004122B7" w:rsidRPr="004079CC" w:rsidRDefault="004122B7" w:rsidP="002B6AE0">
            <w:pPr>
              <w:pStyle w:val="Normal-pool"/>
            </w:pPr>
          </w:p>
        </w:tc>
        <w:tc>
          <w:tcPr>
            <w:tcW w:w="3237" w:type="dxa"/>
            <w:tcBorders>
              <w:bottom w:val="single" w:sz="4" w:space="0" w:color="auto"/>
            </w:tcBorders>
          </w:tcPr>
          <w:p w:rsidR="004122B7" w:rsidRPr="004079CC" w:rsidRDefault="004122B7" w:rsidP="002B6AE0">
            <w:pPr>
              <w:pStyle w:val="Normal-pool"/>
            </w:pPr>
          </w:p>
        </w:tc>
        <w:tc>
          <w:tcPr>
            <w:tcW w:w="3237" w:type="dxa"/>
          </w:tcPr>
          <w:p w:rsidR="004122B7" w:rsidRPr="004079CC" w:rsidRDefault="004122B7" w:rsidP="002B6AE0">
            <w:pPr>
              <w:pStyle w:val="Normal-pool"/>
            </w:pPr>
          </w:p>
        </w:tc>
      </w:tr>
    </w:tbl>
    <w:p w:rsidR="004122B7" w:rsidRPr="007D3B7E" w:rsidRDefault="004122B7" w:rsidP="004122B7">
      <w:pPr>
        <w:pStyle w:val="ZZAnxtitle"/>
        <w:spacing w:before="0"/>
        <w:ind w:left="0"/>
        <w:rPr>
          <w:b w:val="0"/>
          <w:bCs w:val="0"/>
          <w:sz w:val="2"/>
          <w:szCs w:val="2"/>
          <w:lang w:val="en-US"/>
        </w:rPr>
      </w:pPr>
    </w:p>
    <w:p w:rsidR="006D1B94" w:rsidRPr="00E21F58" w:rsidRDefault="006D1B94" w:rsidP="006D1B94">
      <w:pPr>
        <w:tabs>
          <w:tab w:val="num" w:pos="567"/>
          <w:tab w:val="left" w:pos="624"/>
          <w:tab w:val="left" w:pos="1871"/>
          <w:tab w:val="left" w:pos="2495"/>
          <w:tab w:val="left" w:pos="3119"/>
          <w:tab w:val="left" w:pos="3742"/>
        </w:tabs>
        <w:spacing w:after="120"/>
        <w:rPr>
          <w:bCs/>
          <w:sz w:val="20"/>
          <w:lang w:val="en-US"/>
        </w:rPr>
      </w:pPr>
    </w:p>
    <w:sectPr w:rsidR="006D1B94" w:rsidRPr="00E21F58" w:rsidSect="00647C28">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6838" w:h="11906" w:orient="landscape" w:code="9"/>
      <w:pgMar w:top="907" w:right="851" w:bottom="1418" w:left="1418" w:header="539" w:footer="97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7A6" w:rsidRDefault="000607A6">
      <w:r>
        <w:separator/>
      </w:r>
    </w:p>
  </w:endnote>
  <w:endnote w:type="continuationSeparator" w:id="0">
    <w:p w:rsidR="000607A6" w:rsidRDefault="00060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BMAD C+ Univers. Bold 0117">
    <w:altName w:val="Univers 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Univers">
    <w:altName w:val="Arial"/>
    <w:charset w:val="00"/>
    <w:family w:val="swiss"/>
    <w:pitch w:val="variable"/>
    <w:sig w:usb0="00000007" w:usb1="00000000" w:usb2="00000000" w:usb3="00000000" w:csb0="00000093" w:csb1="00000000"/>
  </w:font>
  <w:font w:name="GillSans Light">
    <w:altName w:val="Century Gothic"/>
    <w:charset w:val="00"/>
    <w:family w:val="swiss"/>
    <w:pitch w:val="variable"/>
    <w:sig w:usb0="00000007" w:usb1="00000000" w:usb2="00000000" w:usb3="00000000" w:csb0="00000093"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7A6" w:rsidRDefault="001D1ED5" w:rsidP="00647C28">
    <w:pPr>
      <w:pStyle w:val="Footer"/>
      <w:spacing w:before="60" w:after="120"/>
      <w:rPr>
        <w:b/>
        <w:sz w:val="18"/>
        <w:szCs w:val="18"/>
      </w:rPr>
    </w:pPr>
    <w:r w:rsidRPr="00A409C1">
      <w:rPr>
        <w:b/>
        <w:sz w:val="18"/>
        <w:szCs w:val="18"/>
      </w:rPr>
      <w:fldChar w:fldCharType="begin"/>
    </w:r>
    <w:r w:rsidR="000607A6" w:rsidRPr="00A409C1">
      <w:rPr>
        <w:b/>
        <w:sz w:val="18"/>
        <w:szCs w:val="18"/>
      </w:rPr>
      <w:instrText xml:space="preserve"> PAGE   \* MERGEFORMAT </w:instrText>
    </w:r>
    <w:r w:rsidRPr="00A409C1">
      <w:rPr>
        <w:b/>
        <w:sz w:val="18"/>
        <w:szCs w:val="18"/>
      </w:rPr>
      <w:fldChar w:fldCharType="separate"/>
    </w:r>
    <w:r w:rsidR="00477116">
      <w:rPr>
        <w:b/>
        <w:noProof/>
        <w:sz w:val="18"/>
        <w:szCs w:val="18"/>
      </w:rPr>
      <w:t>2</w:t>
    </w:r>
    <w:r w:rsidRPr="00A409C1">
      <w:rPr>
        <w:b/>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7A6" w:rsidRDefault="001D1ED5" w:rsidP="00647C28">
    <w:pPr>
      <w:pStyle w:val="Footer"/>
      <w:spacing w:before="60" w:after="120"/>
      <w:jc w:val="right"/>
      <w:rPr>
        <w:b/>
        <w:sz w:val="18"/>
        <w:szCs w:val="18"/>
      </w:rPr>
    </w:pPr>
    <w:r w:rsidRPr="00A409C1">
      <w:rPr>
        <w:b/>
        <w:sz w:val="18"/>
        <w:szCs w:val="18"/>
      </w:rPr>
      <w:fldChar w:fldCharType="begin"/>
    </w:r>
    <w:r w:rsidR="000607A6" w:rsidRPr="00A409C1">
      <w:rPr>
        <w:b/>
        <w:sz w:val="18"/>
        <w:szCs w:val="18"/>
      </w:rPr>
      <w:instrText xml:space="preserve"> PAGE   \* MERGEFORMAT </w:instrText>
    </w:r>
    <w:r w:rsidRPr="00A409C1">
      <w:rPr>
        <w:b/>
        <w:sz w:val="18"/>
        <w:szCs w:val="18"/>
      </w:rPr>
      <w:fldChar w:fldCharType="separate"/>
    </w:r>
    <w:r w:rsidR="00477116">
      <w:rPr>
        <w:b/>
        <w:noProof/>
        <w:sz w:val="18"/>
        <w:szCs w:val="18"/>
      </w:rPr>
      <w:t>3</w:t>
    </w:r>
    <w:r w:rsidRPr="00A409C1">
      <w:rPr>
        <w:b/>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7A6" w:rsidRPr="00600A09" w:rsidRDefault="000607A6" w:rsidP="00600A09">
    <w:pPr>
      <w:pStyle w:val="Footer"/>
      <w:tabs>
        <w:tab w:val="clear" w:pos="4320"/>
        <w:tab w:val="clear" w:pos="8640"/>
      </w:tabs>
      <w:rPr>
        <w:bCs/>
        <w:sz w:val="18"/>
        <w:szCs w:val="18"/>
        <w:lang w:val="fr-CH"/>
      </w:rPr>
    </w:pPr>
    <w:r>
      <w:rPr>
        <w:b/>
        <w:sz w:val="18"/>
        <w:szCs w:val="18"/>
        <w:lang w:val="fr-CH"/>
      </w:rPr>
      <w:tab/>
    </w:r>
    <w:r w:rsidRPr="00600A09">
      <w:rPr>
        <w:bCs/>
        <w:sz w:val="18"/>
        <w:szCs w:val="18"/>
        <w:lang w:val="fr-CH"/>
      </w:rPr>
      <w:tab/>
    </w:r>
    <w:r w:rsidR="00600A09" w:rsidRPr="00600A09">
      <w:rPr>
        <w:bCs/>
        <w:sz w:val="18"/>
        <w:szCs w:val="18"/>
        <w:lang w:val="fr-CH"/>
      </w:rPr>
      <w:t>220415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7A6" w:rsidRDefault="001D1ED5" w:rsidP="00CD3330">
    <w:pPr>
      <w:pStyle w:val="Footer"/>
      <w:spacing w:before="60" w:after="120"/>
      <w:rPr>
        <w:b/>
        <w:sz w:val="18"/>
        <w:szCs w:val="18"/>
      </w:rPr>
    </w:pPr>
    <w:r w:rsidRPr="00A409C1">
      <w:rPr>
        <w:b/>
        <w:sz w:val="18"/>
        <w:szCs w:val="18"/>
      </w:rPr>
      <w:fldChar w:fldCharType="begin"/>
    </w:r>
    <w:r w:rsidR="000607A6" w:rsidRPr="00A409C1">
      <w:rPr>
        <w:b/>
        <w:sz w:val="18"/>
        <w:szCs w:val="18"/>
      </w:rPr>
      <w:instrText xml:space="preserve"> PAGE   \* MERGEFORMAT </w:instrText>
    </w:r>
    <w:r w:rsidRPr="00A409C1">
      <w:rPr>
        <w:b/>
        <w:sz w:val="18"/>
        <w:szCs w:val="18"/>
      </w:rPr>
      <w:fldChar w:fldCharType="separate"/>
    </w:r>
    <w:r w:rsidR="00477116">
      <w:rPr>
        <w:b/>
        <w:noProof/>
        <w:sz w:val="18"/>
        <w:szCs w:val="18"/>
      </w:rPr>
      <w:t>6</w:t>
    </w:r>
    <w:r w:rsidRPr="00A409C1">
      <w:rPr>
        <w:b/>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7A6" w:rsidRDefault="001D1ED5">
    <w:pPr>
      <w:pStyle w:val="Footer"/>
      <w:jc w:val="right"/>
      <w:rPr>
        <w:b/>
        <w:sz w:val="18"/>
        <w:szCs w:val="18"/>
      </w:rPr>
    </w:pPr>
    <w:r w:rsidRPr="00A409C1">
      <w:rPr>
        <w:b/>
        <w:sz w:val="18"/>
        <w:szCs w:val="18"/>
      </w:rPr>
      <w:fldChar w:fldCharType="begin"/>
    </w:r>
    <w:r w:rsidR="000607A6" w:rsidRPr="00A409C1">
      <w:rPr>
        <w:b/>
        <w:sz w:val="18"/>
        <w:szCs w:val="18"/>
      </w:rPr>
      <w:instrText xml:space="preserve"> PAGE   \* MERGEFORMAT </w:instrText>
    </w:r>
    <w:r w:rsidRPr="00A409C1">
      <w:rPr>
        <w:b/>
        <w:sz w:val="18"/>
        <w:szCs w:val="18"/>
      </w:rPr>
      <w:fldChar w:fldCharType="separate"/>
    </w:r>
    <w:r w:rsidR="00477116">
      <w:rPr>
        <w:b/>
        <w:noProof/>
        <w:sz w:val="18"/>
        <w:szCs w:val="18"/>
      </w:rPr>
      <w:t>7</w:t>
    </w:r>
    <w:r w:rsidRPr="00A409C1">
      <w:rPr>
        <w:b/>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7A6" w:rsidRDefault="001D1ED5" w:rsidP="00CD3330">
    <w:pPr>
      <w:pStyle w:val="Footer"/>
      <w:spacing w:before="60" w:after="120"/>
      <w:jc w:val="right"/>
      <w:rPr>
        <w:b/>
        <w:sz w:val="18"/>
        <w:szCs w:val="18"/>
      </w:rPr>
    </w:pPr>
    <w:r w:rsidRPr="00A409C1">
      <w:rPr>
        <w:b/>
        <w:sz w:val="18"/>
        <w:szCs w:val="18"/>
      </w:rPr>
      <w:fldChar w:fldCharType="begin"/>
    </w:r>
    <w:r w:rsidR="000607A6" w:rsidRPr="00A409C1">
      <w:rPr>
        <w:b/>
        <w:sz w:val="18"/>
        <w:szCs w:val="18"/>
      </w:rPr>
      <w:instrText xml:space="preserve"> PAGE   \* MERGEFORMAT </w:instrText>
    </w:r>
    <w:r w:rsidRPr="00A409C1">
      <w:rPr>
        <w:b/>
        <w:sz w:val="18"/>
        <w:szCs w:val="18"/>
      </w:rPr>
      <w:fldChar w:fldCharType="separate"/>
    </w:r>
    <w:r w:rsidR="00477116">
      <w:rPr>
        <w:b/>
        <w:noProof/>
        <w:sz w:val="18"/>
        <w:szCs w:val="18"/>
      </w:rPr>
      <w:t>5</w:t>
    </w:r>
    <w:r w:rsidRPr="00A409C1">
      <w:rPr>
        <w:b/>
        <w:sz w:val="18"/>
        <w:szCs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7A6" w:rsidRDefault="001D1ED5" w:rsidP="00647C28">
    <w:pPr>
      <w:pStyle w:val="Footer"/>
      <w:spacing w:before="60" w:after="120"/>
      <w:rPr>
        <w:b/>
        <w:sz w:val="18"/>
        <w:szCs w:val="18"/>
      </w:rPr>
    </w:pPr>
    <w:r w:rsidRPr="00A409C1">
      <w:rPr>
        <w:b/>
        <w:sz w:val="18"/>
        <w:szCs w:val="18"/>
      </w:rPr>
      <w:fldChar w:fldCharType="begin"/>
    </w:r>
    <w:r w:rsidR="000607A6" w:rsidRPr="00A409C1">
      <w:rPr>
        <w:b/>
        <w:sz w:val="18"/>
        <w:szCs w:val="18"/>
      </w:rPr>
      <w:instrText xml:space="preserve"> PAGE   \* MERGEFORMAT </w:instrText>
    </w:r>
    <w:r w:rsidRPr="00A409C1">
      <w:rPr>
        <w:b/>
        <w:sz w:val="18"/>
        <w:szCs w:val="18"/>
      </w:rPr>
      <w:fldChar w:fldCharType="separate"/>
    </w:r>
    <w:r w:rsidR="00477116">
      <w:rPr>
        <w:b/>
        <w:noProof/>
        <w:sz w:val="18"/>
        <w:szCs w:val="18"/>
      </w:rPr>
      <w:t>10</w:t>
    </w:r>
    <w:r w:rsidRPr="00A409C1">
      <w:rPr>
        <w:b/>
        <w:sz w:val="18"/>
        <w:szCs w:val="18"/>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7A6" w:rsidRDefault="001D1ED5">
    <w:pPr>
      <w:pStyle w:val="Footer"/>
      <w:jc w:val="right"/>
      <w:rPr>
        <w:sz w:val="18"/>
        <w:szCs w:val="18"/>
      </w:rPr>
    </w:pPr>
    <w:r w:rsidRPr="00A409C1">
      <w:rPr>
        <w:sz w:val="18"/>
        <w:szCs w:val="18"/>
      </w:rPr>
      <w:fldChar w:fldCharType="begin"/>
    </w:r>
    <w:r w:rsidR="000607A6" w:rsidRPr="00A409C1">
      <w:rPr>
        <w:sz w:val="18"/>
        <w:szCs w:val="18"/>
      </w:rPr>
      <w:instrText xml:space="preserve"> PAGE   \* MERGEFORMAT </w:instrText>
    </w:r>
    <w:r w:rsidRPr="00A409C1">
      <w:rPr>
        <w:sz w:val="18"/>
        <w:szCs w:val="18"/>
      </w:rPr>
      <w:fldChar w:fldCharType="separate"/>
    </w:r>
    <w:r w:rsidR="000607A6">
      <w:rPr>
        <w:noProof/>
        <w:sz w:val="18"/>
        <w:szCs w:val="18"/>
      </w:rPr>
      <w:t>11</w:t>
    </w:r>
    <w:r w:rsidRPr="00A409C1">
      <w:rPr>
        <w:sz w:val="18"/>
        <w:szCs w:val="18"/>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7A6" w:rsidRDefault="001D1ED5" w:rsidP="00647C28">
    <w:pPr>
      <w:pStyle w:val="Footer"/>
      <w:spacing w:after="120"/>
      <w:jc w:val="right"/>
      <w:rPr>
        <w:b/>
        <w:sz w:val="18"/>
        <w:szCs w:val="18"/>
      </w:rPr>
    </w:pPr>
    <w:r w:rsidRPr="00A409C1">
      <w:rPr>
        <w:b/>
        <w:sz w:val="18"/>
        <w:szCs w:val="18"/>
      </w:rPr>
      <w:fldChar w:fldCharType="begin"/>
    </w:r>
    <w:r w:rsidR="000607A6" w:rsidRPr="00A409C1">
      <w:rPr>
        <w:b/>
        <w:sz w:val="18"/>
        <w:szCs w:val="18"/>
      </w:rPr>
      <w:instrText xml:space="preserve"> PAGE   \* MERGEFORMAT </w:instrText>
    </w:r>
    <w:r w:rsidRPr="00A409C1">
      <w:rPr>
        <w:b/>
        <w:sz w:val="18"/>
        <w:szCs w:val="18"/>
      </w:rPr>
      <w:fldChar w:fldCharType="separate"/>
    </w:r>
    <w:r w:rsidR="00477116">
      <w:rPr>
        <w:b/>
        <w:noProof/>
        <w:sz w:val="18"/>
        <w:szCs w:val="18"/>
      </w:rPr>
      <w:t>9</w:t>
    </w:r>
    <w:r w:rsidRPr="00A409C1">
      <w:rPr>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7A6" w:rsidRDefault="000607A6" w:rsidP="001C0F39">
      <w:pPr>
        <w:spacing w:after="60"/>
        <w:ind w:left="624"/>
      </w:pPr>
      <w:r>
        <w:separator/>
      </w:r>
    </w:p>
  </w:footnote>
  <w:footnote w:type="continuationSeparator" w:id="0">
    <w:p w:rsidR="000607A6" w:rsidRDefault="000607A6">
      <w:r>
        <w:continuationSeparator/>
      </w:r>
    </w:p>
  </w:footnote>
  <w:footnote w:id="1">
    <w:p w:rsidR="000607A6" w:rsidRPr="00837DFF" w:rsidRDefault="000607A6" w:rsidP="000607A6">
      <w:pPr>
        <w:pStyle w:val="FootnoteText"/>
        <w:ind w:left="623" w:firstLine="624"/>
        <w:rPr>
          <w:sz w:val="18"/>
          <w:szCs w:val="18"/>
          <w:lang w:val="en-US"/>
        </w:rPr>
      </w:pPr>
      <w:r w:rsidRPr="00837DFF">
        <w:rPr>
          <w:rStyle w:val="FootnoteReference"/>
          <w:sz w:val="18"/>
          <w:szCs w:val="18"/>
        </w:rPr>
        <w:sym w:font="Symbol" w:char="F02A"/>
      </w:r>
      <w:r w:rsidRPr="00837DFF">
        <w:rPr>
          <w:sz w:val="18"/>
          <w:szCs w:val="18"/>
        </w:rPr>
        <w:t xml:space="preserve"> UNEP/CHW.12/1.</w:t>
      </w:r>
    </w:p>
  </w:footnote>
  <w:footnote w:id="2">
    <w:p w:rsidR="000607A6" w:rsidRPr="00837DFF" w:rsidRDefault="000607A6" w:rsidP="000607A6">
      <w:pPr>
        <w:pStyle w:val="FootnoteText"/>
        <w:ind w:left="623" w:firstLine="624"/>
        <w:rPr>
          <w:lang w:val="en-US"/>
        </w:rPr>
      </w:pPr>
      <w:r w:rsidRPr="00837DFF">
        <w:rPr>
          <w:rStyle w:val="FootnoteReference"/>
          <w:sz w:val="18"/>
          <w:szCs w:val="18"/>
        </w:rPr>
        <w:sym w:font="Symbol" w:char="F02A"/>
      </w:r>
      <w:r w:rsidRPr="00837DFF">
        <w:rPr>
          <w:rStyle w:val="FootnoteReference"/>
          <w:sz w:val="18"/>
          <w:szCs w:val="18"/>
        </w:rPr>
        <w:sym w:font="Symbol" w:char="F02A"/>
      </w:r>
      <w:r w:rsidRPr="00837DFF">
        <w:rPr>
          <w:rStyle w:val="FootnoteReference"/>
          <w:sz w:val="18"/>
          <w:szCs w:val="18"/>
        </w:rPr>
        <w:t xml:space="preserve"> </w:t>
      </w:r>
      <w:r w:rsidRPr="00837DFF">
        <w:rPr>
          <w:rStyle w:val="FootnoteReference"/>
          <w:sz w:val="18"/>
          <w:szCs w:val="18"/>
          <w:vertAlign w:val="baseline"/>
        </w:rPr>
        <w:t>UNEP/FAO/RC/COP.7/1.</w:t>
      </w:r>
      <w:r>
        <w:t xml:space="preserve"> </w:t>
      </w:r>
    </w:p>
  </w:footnote>
  <w:footnote w:id="3">
    <w:p w:rsidR="000607A6" w:rsidRPr="000A7847" w:rsidRDefault="000607A6" w:rsidP="000607A6">
      <w:pPr>
        <w:pStyle w:val="FootnoteText"/>
        <w:ind w:left="623" w:firstLine="624"/>
        <w:rPr>
          <w:sz w:val="18"/>
          <w:szCs w:val="18"/>
          <w:lang w:val="en-US"/>
        </w:rPr>
      </w:pPr>
      <w:r w:rsidRPr="00837DFF">
        <w:rPr>
          <w:rStyle w:val="FootnoteReference"/>
          <w:sz w:val="18"/>
          <w:szCs w:val="18"/>
        </w:rPr>
        <w:sym w:font="Symbol" w:char="F02A"/>
      </w:r>
      <w:r w:rsidRPr="00837DFF">
        <w:rPr>
          <w:rStyle w:val="FootnoteReference"/>
          <w:sz w:val="18"/>
          <w:szCs w:val="18"/>
        </w:rPr>
        <w:sym w:font="Symbol" w:char="F02A"/>
      </w:r>
      <w:r w:rsidRPr="00837DFF">
        <w:rPr>
          <w:rStyle w:val="FootnoteReference"/>
          <w:sz w:val="18"/>
          <w:szCs w:val="18"/>
        </w:rPr>
        <w:sym w:font="Symbol" w:char="F02A"/>
      </w:r>
      <w:r w:rsidRPr="00837DFF">
        <w:rPr>
          <w:sz w:val="18"/>
          <w:szCs w:val="18"/>
        </w:rPr>
        <w:t xml:space="preserve"> UNEP/POPS/COP.7/1.</w:t>
      </w:r>
    </w:p>
  </w:footnote>
  <w:footnote w:id="4">
    <w:p w:rsidR="000607A6" w:rsidRPr="00FD3475" w:rsidRDefault="000607A6" w:rsidP="001B611C">
      <w:pPr>
        <w:pStyle w:val="FootnoteText"/>
        <w:spacing w:before="20" w:after="40"/>
        <w:ind w:left="623" w:firstLine="624"/>
        <w:rPr>
          <w:sz w:val="18"/>
          <w:szCs w:val="18"/>
          <w:lang w:val="en-US"/>
        </w:rPr>
      </w:pPr>
      <w:r w:rsidRPr="00A409C1">
        <w:rPr>
          <w:rStyle w:val="FootnoteReference"/>
          <w:sz w:val="18"/>
          <w:szCs w:val="18"/>
        </w:rPr>
        <w:footnoteRef/>
      </w:r>
      <w:r w:rsidRPr="00A409C1">
        <w:rPr>
          <w:sz w:val="18"/>
          <w:szCs w:val="18"/>
        </w:rPr>
        <w:t xml:space="preserve"> Report prepared by IUCN Environmental Law Centre, March 1997.  </w:t>
      </w:r>
    </w:p>
  </w:footnote>
  <w:footnote w:id="5">
    <w:p w:rsidR="000607A6" w:rsidRPr="00FD3475" w:rsidRDefault="000607A6" w:rsidP="001B611C">
      <w:pPr>
        <w:spacing w:before="20" w:after="40"/>
        <w:ind w:left="623" w:firstLine="624"/>
        <w:rPr>
          <w:sz w:val="18"/>
          <w:szCs w:val="18"/>
        </w:rPr>
      </w:pPr>
      <w:r w:rsidRPr="00A409C1">
        <w:rPr>
          <w:rStyle w:val="FootnoteReference"/>
          <w:sz w:val="18"/>
          <w:szCs w:val="18"/>
        </w:rPr>
        <w:footnoteRef/>
      </w:r>
      <w:r w:rsidRPr="00A409C1">
        <w:rPr>
          <w:sz w:val="18"/>
          <w:szCs w:val="18"/>
        </w:rPr>
        <w:t xml:space="preserve"> From the Financial Regulations of IWC, paragraph (F) on Arrears of contributions.</w:t>
      </w:r>
    </w:p>
  </w:footnote>
  <w:footnote w:id="6">
    <w:p w:rsidR="000607A6" w:rsidRPr="00FD3475" w:rsidRDefault="000607A6" w:rsidP="001B611C">
      <w:pPr>
        <w:pStyle w:val="FootnoteText"/>
        <w:spacing w:before="20" w:after="40"/>
        <w:ind w:left="623" w:firstLine="624"/>
        <w:rPr>
          <w:sz w:val="18"/>
          <w:szCs w:val="18"/>
          <w:lang w:val="en-US"/>
        </w:rPr>
      </w:pPr>
      <w:r w:rsidRPr="00A409C1">
        <w:rPr>
          <w:rStyle w:val="FootnoteReference"/>
          <w:sz w:val="18"/>
          <w:szCs w:val="18"/>
        </w:rPr>
        <w:footnoteRef/>
      </w:r>
      <w:r w:rsidRPr="00A409C1">
        <w:rPr>
          <w:sz w:val="18"/>
          <w:szCs w:val="18"/>
        </w:rPr>
        <w:t xml:space="preserve"> Annex 1 of United Nations Report (A/59/11) of the Committee on Contributions 64</w:t>
      </w:r>
      <w:r w:rsidRPr="00A409C1">
        <w:rPr>
          <w:sz w:val="18"/>
          <w:szCs w:val="18"/>
          <w:vertAlign w:val="superscript"/>
        </w:rPr>
        <w:t>th</w:t>
      </w:r>
      <w:r w:rsidRPr="00A409C1">
        <w:rPr>
          <w:sz w:val="18"/>
          <w:szCs w:val="18"/>
        </w:rPr>
        <w:t xml:space="preserve"> Session.</w:t>
      </w:r>
    </w:p>
  </w:footnote>
  <w:footnote w:id="7">
    <w:p w:rsidR="000607A6" w:rsidRPr="00A35422" w:rsidRDefault="000607A6" w:rsidP="001B611C">
      <w:pPr>
        <w:pStyle w:val="FootnoteText"/>
        <w:spacing w:before="20" w:after="40"/>
        <w:ind w:left="623" w:firstLine="624"/>
        <w:rPr>
          <w:sz w:val="18"/>
          <w:szCs w:val="18"/>
        </w:rPr>
      </w:pPr>
      <w:r>
        <w:rPr>
          <w:rStyle w:val="FootnoteReference"/>
        </w:rPr>
        <w:footnoteRef/>
      </w:r>
      <w:r>
        <w:t xml:space="preserve"> </w:t>
      </w:r>
      <w:proofErr w:type="gramStart"/>
      <w:r w:rsidRPr="00A35422">
        <w:rPr>
          <w:sz w:val="18"/>
          <w:szCs w:val="18"/>
        </w:rPr>
        <w:t>BC-10/28 and BC-11/26, respectively.</w:t>
      </w:r>
      <w:proofErr w:type="gramEnd"/>
    </w:p>
  </w:footnote>
  <w:footnote w:id="8">
    <w:p w:rsidR="000607A6" w:rsidRPr="00A35422" w:rsidRDefault="000607A6" w:rsidP="001B611C">
      <w:pPr>
        <w:pStyle w:val="FootnoteText"/>
        <w:spacing w:before="20" w:after="40"/>
        <w:ind w:left="623" w:firstLine="624"/>
        <w:rPr>
          <w:sz w:val="18"/>
          <w:szCs w:val="18"/>
        </w:rPr>
      </w:pPr>
      <w:r>
        <w:rPr>
          <w:rStyle w:val="FootnoteReference"/>
        </w:rPr>
        <w:footnoteRef/>
      </w:r>
      <w:r>
        <w:t xml:space="preserve"> </w:t>
      </w:r>
      <w:proofErr w:type="gramStart"/>
      <w:r w:rsidRPr="00A35422">
        <w:rPr>
          <w:sz w:val="18"/>
          <w:szCs w:val="18"/>
        </w:rPr>
        <w:t>RC-6/16 and SC-6/30, respectively.</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7A6" w:rsidRDefault="000607A6">
    <w:pPr>
      <w:pBdr>
        <w:bottom w:val="single" w:sz="4" w:space="1" w:color="auto"/>
      </w:pBdr>
    </w:pPr>
    <w:r w:rsidRPr="004D37D1">
      <w:rPr>
        <w:b/>
        <w:sz w:val="18"/>
        <w:szCs w:val="18"/>
      </w:rPr>
      <w:t>UNEP/</w:t>
    </w:r>
    <w:r>
      <w:rPr>
        <w:b/>
        <w:sz w:val="18"/>
        <w:szCs w:val="18"/>
      </w:rPr>
      <w:t>CHW.12/INF/41-UNEP/</w:t>
    </w:r>
    <w:r w:rsidRPr="004D37D1">
      <w:rPr>
        <w:b/>
        <w:sz w:val="18"/>
        <w:szCs w:val="18"/>
      </w:rPr>
      <w:t>FAO</w:t>
    </w:r>
    <w:r w:rsidRPr="004D37D1">
      <w:rPr>
        <w:b/>
        <w:sz w:val="18"/>
        <w:szCs w:val="18"/>
        <w:lang w:val="en-US"/>
      </w:rPr>
      <w:t>/RC/</w:t>
    </w:r>
    <w:r>
      <w:rPr>
        <w:b/>
        <w:sz w:val="18"/>
        <w:szCs w:val="18"/>
        <w:lang w:val="en-US"/>
      </w:rPr>
      <w:t>COP.7</w:t>
    </w:r>
    <w:r w:rsidRPr="004D37D1">
      <w:rPr>
        <w:b/>
        <w:sz w:val="18"/>
        <w:szCs w:val="18"/>
        <w:lang w:val="en-US"/>
      </w:rPr>
      <w:t>/</w:t>
    </w:r>
    <w:r>
      <w:rPr>
        <w:b/>
        <w:sz w:val="18"/>
        <w:szCs w:val="18"/>
        <w:lang w:val="en-US"/>
      </w:rPr>
      <w:t>INF/27-UNEP/POPS/COP.7/INF/47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7A6" w:rsidRDefault="000607A6">
    <w:pPr>
      <w:pBdr>
        <w:bottom w:val="single" w:sz="4" w:space="1" w:color="auto"/>
      </w:pBdr>
      <w:jc w:val="right"/>
    </w:pPr>
    <w:r w:rsidRPr="004D37D1">
      <w:rPr>
        <w:b/>
        <w:sz w:val="18"/>
        <w:szCs w:val="18"/>
      </w:rPr>
      <w:t>UNEP/</w:t>
    </w:r>
    <w:r>
      <w:rPr>
        <w:b/>
        <w:sz w:val="18"/>
        <w:szCs w:val="18"/>
      </w:rPr>
      <w:t>CHW.12/INF/41-UNEP/</w:t>
    </w:r>
    <w:r w:rsidRPr="004D37D1">
      <w:rPr>
        <w:b/>
        <w:sz w:val="18"/>
        <w:szCs w:val="18"/>
      </w:rPr>
      <w:t>FAO</w:t>
    </w:r>
    <w:r w:rsidRPr="004D37D1">
      <w:rPr>
        <w:b/>
        <w:sz w:val="18"/>
        <w:szCs w:val="18"/>
        <w:lang w:val="en-US"/>
      </w:rPr>
      <w:t>/RC/</w:t>
    </w:r>
    <w:r>
      <w:rPr>
        <w:b/>
        <w:sz w:val="18"/>
        <w:szCs w:val="18"/>
        <w:lang w:val="en-US"/>
      </w:rPr>
      <w:t>COP.7</w:t>
    </w:r>
    <w:r w:rsidRPr="004D37D1">
      <w:rPr>
        <w:b/>
        <w:sz w:val="18"/>
        <w:szCs w:val="18"/>
        <w:lang w:val="en-US"/>
      </w:rPr>
      <w:t>/</w:t>
    </w:r>
    <w:r>
      <w:rPr>
        <w:b/>
        <w:sz w:val="18"/>
        <w:szCs w:val="18"/>
        <w:lang w:val="en-US"/>
      </w:rPr>
      <w:t>INF/27-UNEP/POPS/COP.7/INF/47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7A6" w:rsidRDefault="000607A6">
    <w:pPr>
      <w:pBdr>
        <w:bottom w:val="single" w:sz="4" w:space="1" w:color="auto"/>
      </w:pBdr>
    </w:pPr>
    <w:r w:rsidRPr="004D37D1">
      <w:rPr>
        <w:b/>
        <w:sz w:val="18"/>
        <w:szCs w:val="18"/>
      </w:rPr>
      <w:t>UNEP/</w:t>
    </w:r>
    <w:r>
      <w:rPr>
        <w:b/>
        <w:sz w:val="18"/>
        <w:szCs w:val="18"/>
      </w:rPr>
      <w:t>CHW.12/INF/41-UNEP/</w:t>
    </w:r>
    <w:r w:rsidRPr="004D37D1">
      <w:rPr>
        <w:b/>
        <w:sz w:val="18"/>
        <w:szCs w:val="18"/>
      </w:rPr>
      <w:t>FAO</w:t>
    </w:r>
    <w:r w:rsidRPr="004D37D1">
      <w:rPr>
        <w:b/>
        <w:sz w:val="18"/>
        <w:szCs w:val="18"/>
        <w:lang w:val="en-US"/>
      </w:rPr>
      <w:t>/RC/</w:t>
    </w:r>
    <w:r>
      <w:rPr>
        <w:b/>
        <w:sz w:val="18"/>
        <w:szCs w:val="18"/>
        <w:lang w:val="en-US"/>
      </w:rPr>
      <w:t>COP.7</w:t>
    </w:r>
    <w:r w:rsidRPr="004D37D1">
      <w:rPr>
        <w:b/>
        <w:sz w:val="18"/>
        <w:szCs w:val="18"/>
        <w:lang w:val="en-US"/>
      </w:rPr>
      <w:t>/</w:t>
    </w:r>
    <w:r>
      <w:rPr>
        <w:b/>
        <w:sz w:val="18"/>
        <w:szCs w:val="18"/>
        <w:lang w:val="en-US"/>
      </w:rPr>
      <w:t>INF/27-UNEP/POPS/COP.7/INF/47</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7A6" w:rsidRDefault="000607A6">
    <w:pPr>
      <w:pBdr>
        <w:bottom w:val="single" w:sz="4" w:space="1" w:color="auto"/>
      </w:pBdr>
      <w:jc w:val="right"/>
    </w:pPr>
    <w:r w:rsidRPr="004D37D1">
      <w:rPr>
        <w:b/>
        <w:sz w:val="18"/>
        <w:szCs w:val="18"/>
      </w:rPr>
      <w:t>UNEP/</w:t>
    </w:r>
    <w:r>
      <w:rPr>
        <w:b/>
        <w:sz w:val="18"/>
        <w:szCs w:val="18"/>
      </w:rPr>
      <w:t>CHW.12/INF/41-UNEP/</w:t>
    </w:r>
    <w:r w:rsidRPr="004D37D1">
      <w:rPr>
        <w:b/>
        <w:sz w:val="18"/>
        <w:szCs w:val="18"/>
      </w:rPr>
      <w:t>FAO</w:t>
    </w:r>
    <w:r w:rsidRPr="004D37D1">
      <w:rPr>
        <w:b/>
        <w:sz w:val="18"/>
        <w:szCs w:val="18"/>
        <w:lang w:val="en-US"/>
      </w:rPr>
      <w:t>/RC/</w:t>
    </w:r>
    <w:r>
      <w:rPr>
        <w:b/>
        <w:sz w:val="18"/>
        <w:szCs w:val="18"/>
        <w:lang w:val="en-US"/>
      </w:rPr>
      <w:t>COP.7</w:t>
    </w:r>
    <w:r w:rsidRPr="004D37D1">
      <w:rPr>
        <w:b/>
        <w:sz w:val="18"/>
        <w:szCs w:val="18"/>
        <w:lang w:val="en-US"/>
      </w:rPr>
      <w:t>/</w:t>
    </w:r>
    <w:r>
      <w:rPr>
        <w:b/>
        <w:sz w:val="18"/>
        <w:szCs w:val="18"/>
        <w:lang w:val="en-US"/>
      </w:rPr>
      <w:t>INF/27-UNEP/POPS/COP.7/INF/47</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7A6" w:rsidRDefault="000607A6">
    <w:pPr>
      <w:pStyle w:val="Header"/>
      <w:pBdr>
        <w:bottom w:val="single" w:sz="4" w:space="1" w:color="000000"/>
      </w:pBdr>
      <w:jc w:val="right"/>
    </w:pPr>
    <w:r w:rsidRPr="004D37D1">
      <w:rPr>
        <w:b/>
        <w:sz w:val="18"/>
        <w:szCs w:val="18"/>
      </w:rPr>
      <w:t>UNEP/</w:t>
    </w:r>
    <w:r>
      <w:rPr>
        <w:b/>
        <w:sz w:val="18"/>
        <w:szCs w:val="18"/>
      </w:rPr>
      <w:t>CHW.12/INF/41-UNEP/</w:t>
    </w:r>
    <w:r w:rsidRPr="004D37D1">
      <w:rPr>
        <w:b/>
        <w:sz w:val="18"/>
        <w:szCs w:val="18"/>
      </w:rPr>
      <w:t>FAO</w:t>
    </w:r>
    <w:r w:rsidRPr="004D37D1">
      <w:rPr>
        <w:b/>
        <w:sz w:val="18"/>
        <w:szCs w:val="18"/>
        <w:lang w:val="en-US"/>
      </w:rPr>
      <w:t>/RC/</w:t>
    </w:r>
    <w:r>
      <w:rPr>
        <w:b/>
        <w:sz w:val="18"/>
        <w:szCs w:val="18"/>
        <w:lang w:val="en-US"/>
      </w:rPr>
      <w:t>COP.7</w:t>
    </w:r>
    <w:r w:rsidRPr="004D37D1">
      <w:rPr>
        <w:b/>
        <w:sz w:val="18"/>
        <w:szCs w:val="18"/>
        <w:lang w:val="en-US"/>
      </w:rPr>
      <w:t>/</w:t>
    </w:r>
    <w:r>
      <w:rPr>
        <w:b/>
        <w:sz w:val="18"/>
        <w:szCs w:val="18"/>
        <w:lang w:val="en-US"/>
      </w:rPr>
      <w:t>INF/27-UNEP/POPS/COP.7/INF/47</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7A6" w:rsidRDefault="000607A6">
    <w:pPr>
      <w:pBdr>
        <w:bottom w:val="single" w:sz="4" w:space="1" w:color="auto"/>
      </w:pBdr>
    </w:pPr>
    <w:r w:rsidRPr="004D37D1">
      <w:rPr>
        <w:b/>
        <w:sz w:val="18"/>
        <w:szCs w:val="18"/>
      </w:rPr>
      <w:t>UNEP/</w:t>
    </w:r>
    <w:r>
      <w:rPr>
        <w:b/>
        <w:sz w:val="18"/>
        <w:szCs w:val="18"/>
      </w:rPr>
      <w:t>CHW.12/INF/41-UNEP/</w:t>
    </w:r>
    <w:r w:rsidRPr="004D37D1">
      <w:rPr>
        <w:b/>
        <w:sz w:val="18"/>
        <w:szCs w:val="18"/>
      </w:rPr>
      <w:t>FAO</w:t>
    </w:r>
    <w:r w:rsidRPr="004D37D1">
      <w:rPr>
        <w:b/>
        <w:sz w:val="18"/>
        <w:szCs w:val="18"/>
        <w:lang w:val="en-US"/>
      </w:rPr>
      <w:t>/RC/</w:t>
    </w:r>
    <w:r>
      <w:rPr>
        <w:b/>
        <w:sz w:val="18"/>
        <w:szCs w:val="18"/>
        <w:lang w:val="en-US"/>
      </w:rPr>
      <w:t>COP.7</w:t>
    </w:r>
    <w:r w:rsidRPr="004D37D1">
      <w:rPr>
        <w:b/>
        <w:sz w:val="18"/>
        <w:szCs w:val="18"/>
        <w:lang w:val="en-US"/>
      </w:rPr>
      <w:t>/</w:t>
    </w:r>
    <w:r>
      <w:rPr>
        <w:b/>
        <w:sz w:val="18"/>
        <w:szCs w:val="18"/>
        <w:lang w:val="en-US"/>
      </w:rPr>
      <w:t>INF/27-UNEP/POPS/COP.7/INF/47</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7A6" w:rsidRPr="004D37D1" w:rsidRDefault="000607A6" w:rsidP="006D1B94">
    <w:pPr>
      <w:pBdr>
        <w:bottom w:val="single" w:sz="4" w:space="1" w:color="auto"/>
      </w:pBdr>
      <w:jc w:val="right"/>
      <w:rPr>
        <w:b/>
        <w:sz w:val="18"/>
        <w:szCs w:val="18"/>
      </w:rPr>
    </w:pPr>
    <w:r w:rsidRPr="004D37D1">
      <w:rPr>
        <w:b/>
        <w:sz w:val="18"/>
        <w:szCs w:val="18"/>
      </w:rPr>
      <w:t>UNEP/</w:t>
    </w:r>
    <w:r>
      <w:rPr>
        <w:b/>
        <w:sz w:val="18"/>
        <w:szCs w:val="18"/>
      </w:rPr>
      <w:t>CHW.12/INF/41-UNEP/</w:t>
    </w:r>
    <w:r w:rsidRPr="004D37D1">
      <w:rPr>
        <w:b/>
        <w:sz w:val="18"/>
        <w:szCs w:val="18"/>
      </w:rPr>
      <w:t>FAO</w:t>
    </w:r>
    <w:r w:rsidRPr="004D37D1">
      <w:rPr>
        <w:b/>
        <w:sz w:val="18"/>
        <w:szCs w:val="18"/>
        <w:lang w:val="en-US"/>
      </w:rPr>
      <w:t>/RC/</w:t>
    </w:r>
    <w:r>
      <w:rPr>
        <w:b/>
        <w:sz w:val="18"/>
        <w:szCs w:val="18"/>
        <w:lang w:val="en-US"/>
      </w:rPr>
      <w:t>COP.7</w:t>
    </w:r>
    <w:r w:rsidRPr="004D37D1">
      <w:rPr>
        <w:b/>
        <w:sz w:val="18"/>
        <w:szCs w:val="18"/>
        <w:lang w:val="en-US"/>
      </w:rPr>
      <w:t>/</w:t>
    </w:r>
    <w:r>
      <w:rPr>
        <w:b/>
        <w:sz w:val="18"/>
        <w:szCs w:val="18"/>
        <w:lang w:val="en-US"/>
      </w:rPr>
      <w:t>INF/27-UNEP/POPS/COP.7/INF/47</w:t>
    </w:r>
  </w:p>
  <w:p w:rsidR="000607A6" w:rsidRDefault="000607A6">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7A6" w:rsidRDefault="000607A6">
    <w:pPr>
      <w:pStyle w:val="Header"/>
      <w:pBdr>
        <w:bottom w:val="single" w:sz="4" w:space="1" w:color="000000"/>
      </w:pBdr>
      <w:jc w:val="right"/>
    </w:pPr>
    <w:r w:rsidRPr="004D37D1">
      <w:rPr>
        <w:b/>
        <w:sz w:val="18"/>
        <w:szCs w:val="18"/>
      </w:rPr>
      <w:t>UNEP/</w:t>
    </w:r>
    <w:r>
      <w:rPr>
        <w:b/>
        <w:sz w:val="18"/>
        <w:szCs w:val="18"/>
      </w:rPr>
      <w:t>CHW.12/INF/41-UNEP/</w:t>
    </w:r>
    <w:r w:rsidRPr="004D37D1">
      <w:rPr>
        <w:b/>
        <w:sz w:val="18"/>
        <w:szCs w:val="18"/>
      </w:rPr>
      <w:t>FAO</w:t>
    </w:r>
    <w:r w:rsidRPr="004D37D1">
      <w:rPr>
        <w:b/>
        <w:sz w:val="18"/>
        <w:szCs w:val="18"/>
        <w:lang w:val="en-US"/>
      </w:rPr>
      <w:t>/RC/</w:t>
    </w:r>
    <w:r>
      <w:rPr>
        <w:b/>
        <w:sz w:val="18"/>
        <w:szCs w:val="18"/>
        <w:lang w:val="en-US"/>
      </w:rPr>
      <w:t>COP.7</w:t>
    </w:r>
    <w:r w:rsidRPr="004D37D1">
      <w:rPr>
        <w:b/>
        <w:sz w:val="18"/>
        <w:szCs w:val="18"/>
        <w:lang w:val="en-US"/>
      </w:rPr>
      <w:t>/</w:t>
    </w:r>
    <w:r>
      <w:rPr>
        <w:b/>
        <w:sz w:val="18"/>
        <w:szCs w:val="18"/>
        <w:lang w:val="en-US"/>
      </w:rPr>
      <w:t>INF/27-UNEP/POPS/COP.7/INF/47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5D92"/>
    <w:multiLevelType w:val="hybridMultilevel"/>
    <w:tmpl w:val="31FE6904"/>
    <w:lvl w:ilvl="0" w:tplc="100C0015">
      <w:start w:val="1"/>
      <w:numFmt w:val="upperLetter"/>
      <w:lvlText w:val="%1."/>
      <w:lvlJc w:val="left"/>
      <w:pPr>
        <w:ind w:left="2590" w:hanging="360"/>
      </w:pPr>
      <w:rPr>
        <w:rFonts w:hint="default"/>
      </w:rPr>
    </w:lvl>
    <w:lvl w:ilvl="1" w:tplc="08090019" w:tentative="1">
      <w:start w:val="1"/>
      <w:numFmt w:val="lowerLetter"/>
      <w:lvlText w:val="%2."/>
      <w:lvlJc w:val="left"/>
      <w:pPr>
        <w:ind w:left="3310" w:hanging="360"/>
      </w:pPr>
    </w:lvl>
    <w:lvl w:ilvl="2" w:tplc="0809001B" w:tentative="1">
      <w:start w:val="1"/>
      <w:numFmt w:val="lowerRoman"/>
      <w:lvlText w:val="%3."/>
      <w:lvlJc w:val="right"/>
      <w:pPr>
        <w:ind w:left="4030" w:hanging="180"/>
      </w:pPr>
    </w:lvl>
    <w:lvl w:ilvl="3" w:tplc="0809000F" w:tentative="1">
      <w:start w:val="1"/>
      <w:numFmt w:val="decimal"/>
      <w:lvlText w:val="%4."/>
      <w:lvlJc w:val="left"/>
      <w:pPr>
        <w:ind w:left="4750" w:hanging="360"/>
      </w:pPr>
    </w:lvl>
    <w:lvl w:ilvl="4" w:tplc="08090019" w:tentative="1">
      <w:start w:val="1"/>
      <w:numFmt w:val="lowerLetter"/>
      <w:lvlText w:val="%5."/>
      <w:lvlJc w:val="left"/>
      <w:pPr>
        <w:ind w:left="5470" w:hanging="360"/>
      </w:pPr>
    </w:lvl>
    <w:lvl w:ilvl="5" w:tplc="0809001B" w:tentative="1">
      <w:start w:val="1"/>
      <w:numFmt w:val="lowerRoman"/>
      <w:lvlText w:val="%6."/>
      <w:lvlJc w:val="right"/>
      <w:pPr>
        <w:ind w:left="6190" w:hanging="180"/>
      </w:pPr>
    </w:lvl>
    <w:lvl w:ilvl="6" w:tplc="0809000F" w:tentative="1">
      <w:start w:val="1"/>
      <w:numFmt w:val="decimal"/>
      <w:lvlText w:val="%7."/>
      <w:lvlJc w:val="left"/>
      <w:pPr>
        <w:ind w:left="6910" w:hanging="360"/>
      </w:pPr>
    </w:lvl>
    <w:lvl w:ilvl="7" w:tplc="08090019" w:tentative="1">
      <w:start w:val="1"/>
      <w:numFmt w:val="lowerLetter"/>
      <w:lvlText w:val="%8."/>
      <w:lvlJc w:val="left"/>
      <w:pPr>
        <w:ind w:left="7630" w:hanging="360"/>
      </w:pPr>
    </w:lvl>
    <w:lvl w:ilvl="8" w:tplc="0809001B" w:tentative="1">
      <w:start w:val="1"/>
      <w:numFmt w:val="lowerRoman"/>
      <w:lvlText w:val="%9."/>
      <w:lvlJc w:val="right"/>
      <w:pPr>
        <w:ind w:left="8350" w:hanging="180"/>
      </w:pPr>
    </w:lvl>
  </w:abstractNum>
  <w:abstractNum w:abstractNumId="1">
    <w:nsid w:val="053A398D"/>
    <w:multiLevelType w:val="hybridMultilevel"/>
    <w:tmpl w:val="133C5C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34239"/>
    <w:multiLevelType w:val="hybridMultilevel"/>
    <w:tmpl w:val="F5823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62EB7"/>
    <w:multiLevelType w:val="singleLevel"/>
    <w:tmpl w:val="6A30529A"/>
    <w:lvl w:ilvl="0">
      <w:start w:val="1"/>
      <w:numFmt w:val="decimal"/>
      <w:pStyle w:val="Paralevel1"/>
      <w:lvlText w:val="%1."/>
      <w:lvlJc w:val="left"/>
      <w:pPr>
        <w:tabs>
          <w:tab w:val="num" w:pos="360"/>
        </w:tabs>
        <w:ind w:left="0" w:firstLine="0"/>
      </w:pPr>
      <w:rPr>
        <w:rFonts w:ascii="Times New Roman" w:hAnsi="Times New Roman" w:hint="default"/>
        <w:b w:val="0"/>
        <w:i w:val="0"/>
        <w:sz w:val="20"/>
        <w:szCs w:val="20"/>
      </w:rPr>
    </w:lvl>
  </w:abstractNum>
  <w:abstractNum w:abstractNumId="4">
    <w:nsid w:val="171113A7"/>
    <w:multiLevelType w:val="multilevel"/>
    <w:tmpl w:val="48241D10"/>
    <w:numStyleLink w:val="Normallist"/>
  </w:abstractNum>
  <w:abstractNum w:abstractNumId="5">
    <w:nsid w:val="1B571867"/>
    <w:multiLevelType w:val="multilevel"/>
    <w:tmpl w:val="B9929944"/>
    <w:lvl w:ilvl="0">
      <w:start w:val="1"/>
      <w:numFmt w:val="decimal"/>
      <w:lvlText w:val="%1."/>
      <w:lvlJc w:val="left"/>
      <w:pPr>
        <w:tabs>
          <w:tab w:val="num" w:pos="360"/>
        </w:tabs>
        <w:ind w:left="360" w:hanging="360"/>
      </w:pPr>
      <w:rPr>
        <w:rFonts w:cs="Times New Roman" w:hint="default"/>
        <w:lang w:val="en-GB"/>
      </w:rPr>
    </w:lvl>
    <w:lvl w:ilvl="1">
      <w:start w:val="1"/>
      <w:numFmt w:val="lowerLetter"/>
      <w:lvlText w:val="%2)"/>
      <w:lvlJc w:val="left"/>
      <w:pPr>
        <w:ind w:left="2160" w:hanging="36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1D1D2653"/>
    <w:multiLevelType w:val="hybridMultilevel"/>
    <w:tmpl w:val="306632A2"/>
    <w:lvl w:ilvl="0" w:tplc="100C000F">
      <w:start w:val="1"/>
      <w:numFmt w:val="decimal"/>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7">
    <w:nsid w:val="1E9D1DE3"/>
    <w:multiLevelType w:val="hybridMultilevel"/>
    <w:tmpl w:val="D4A092D6"/>
    <w:lvl w:ilvl="0" w:tplc="1E80853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7D41BB"/>
    <w:multiLevelType w:val="hybridMultilevel"/>
    <w:tmpl w:val="31FE6904"/>
    <w:lvl w:ilvl="0" w:tplc="100C0015">
      <w:start w:val="1"/>
      <w:numFmt w:val="upperLetter"/>
      <w:lvlText w:val="%1."/>
      <w:lvlJc w:val="left"/>
      <w:pPr>
        <w:ind w:left="2590" w:hanging="360"/>
      </w:pPr>
      <w:rPr>
        <w:rFonts w:hint="default"/>
      </w:rPr>
    </w:lvl>
    <w:lvl w:ilvl="1" w:tplc="08090019" w:tentative="1">
      <w:start w:val="1"/>
      <w:numFmt w:val="lowerLetter"/>
      <w:lvlText w:val="%2."/>
      <w:lvlJc w:val="left"/>
      <w:pPr>
        <w:ind w:left="3310" w:hanging="360"/>
      </w:pPr>
    </w:lvl>
    <w:lvl w:ilvl="2" w:tplc="0809001B" w:tentative="1">
      <w:start w:val="1"/>
      <w:numFmt w:val="lowerRoman"/>
      <w:lvlText w:val="%3."/>
      <w:lvlJc w:val="right"/>
      <w:pPr>
        <w:ind w:left="4030" w:hanging="180"/>
      </w:pPr>
    </w:lvl>
    <w:lvl w:ilvl="3" w:tplc="0809000F" w:tentative="1">
      <w:start w:val="1"/>
      <w:numFmt w:val="decimal"/>
      <w:lvlText w:val="%4."/>
      <w:lvlJc w:val="left"/>
      <w:pPr>
        <w:ind w:left="4750" w:hanging="360"/>
      </w:pPr>
    </w:lvl>
    <w:lvl w:ilvl="4" w:tplc="08090019" w:tentative="1">
      <w:start w:val="1"/>
      <w:numFmt w:val="lowerLetter"/>
      <w:lvlText w:val="%5."/>
      <w:lvlJc w:val="left"/>
      <w:pPr>
        <w:ind w:left="5470" w:hanging="360"/>
      </w:pPr>
    </w:lvl>
    <w:lvl w:ilvl="5" w:tplc="0809001B" w:tentative="1">
      <w:start w:val="1"/>
      <w:numFmt w:val="lowerRoman"/>
      <w:lvlText w:val="%6."/>
      <w:lvlJc w:val="right"/>
      <w:pPr>
        <w:ind w:left="6190" w:hanging="180"/>
      </w:pPr>
    </w:lvl>
    <w:lvl w:ilvl="6" w:tplc="0809000F" w:tentative="1">
      <w:start w:val="1"/>
      <w:numFmt w:val="decimal"/>
      <w:lvlText w:val="%7."/>
      <w:lvlJc w:val="left"/>
      <w:pPr>
        <w:ind w:left="6910" w:hanging="360"/>
      </w:pPr>
    </w:lvl>
    <w:lvl w:ilvl="7" w:tplc="08090019" w:tentative="1">
      <w:start w:val="1"/>
      <w:numFmt w:val="lowerLetter"/>
      <w:lvlText w:val="%8."/>
      <w:lvlJc w:val="left"/>
      <w:pPr>
        <w:ind w:left="7630" w:hanging="360"/>
      </w:pPr>
    </w:lvl>
    <w:lvl w:ilvl="8" w:tplc="0809001B" w:tentative="1">
      <w:start w:val="1"/>
      <w:numFmt w:val="lowerRoman"/>
      <w:lvlText w:val="%9."/>
      <w:lvlJc w:val="right"/>
      <w:pPr>
        <w:ind w:left="8350" w:hanging="180"/>
      </w:pPr>
    </w:lvl>
  </w:abstractNum>
  <w:abstractNum w:abstractNumId="9">
    <w:nsid w:val="27FD44BC"/>
    <w:multiLevelType w:val="multilevel"/>
    <w:tmpl w:val="63F66F18"/>
    <w:lvl w:ilvl="0">
      <w:start w:val="1"/>
      <w:numFmt w:val="bullet"/>
      <w:lvlText w:val=""/>
      <w:lvlJc w:val="left"/>
      <w:pPr>
        <w:ind w:left="1211" w:hanging="360"/>
      </w:pPr>
      <w:rPr>
        <w:rFonts w:ascii="Symbol" w:hAnsi="Symbol" w:hint="default"/>
      </w:rPr>
    </w:lvl>
    <w:lvl w:ilvl="1">
      <w:start w:val="1"/>
      <w:numFmt w:val="lowerLetter"/>
      <w:lvlText w:val="%2)"/>
      <w:lvlJc w:val="left"/>
      <w:pPr>
        <w:ind w:left="1571" w:hanging="360"/>
      </w:pPr>
    </w:lvl>
    <w:lvl w:ilvl="2">
      <w:start w:val="1"/>
      <w:numFmt w:val="lowerRoman"/>
      <w:lvlText w:val="%3)"/>
      <w:lvlJc w:val="left"/>
      <w:pPr>
        <w:ind w:left="1931" w:hanging="360"/>
      </w:pPr>
    </w:lvl>
    <w:lvl w:ilvl="3">
      <w:start w:val="1"/>
      <w:numFmt w:val="decimal"/>
      <w:lvlText w:val="(%4)"/>
      <w:lvlJc w:val="left"/>
      <w:pPr>
        <w:ind w:left="2291" w:hanging="360"/>
      </w:pPr>
    </w:lvl>
    <w:lvl w:ilvl="4">
      <w:start w:val="1"/>
      <w:numFmt w:val="lowerLetter"/>
      <w:lvlText w:val="(%5)"/>
      <w:lvlJc w:val="left"/>
      <w:pPr>
        <w:ind w:left="2651" w:hanging="360"/>
      </w:pPr>
    </w:lvl>
    <w:lvl w:ilvl="5">
      <w:start w:val="1"/>
      <w:numFmt w:val="lowerRoman"/>
      <w:lvlText w:val="(%6)"/>
      <w:lvlJc w:val="left"/>
      <w:pPr>
        <w:ind w:left="3011" w:hanging="360"/>
      </w:pPr>
    </w:lvl>
    <w:lvl w:ilvl="6">
      <w:start w:val="1"/>
      <w:numFmt w:val="decimal"/>
      <w:lvlText w:val="%7."/>
      <w:lvlJc w:val="left"/>
      <w:pPr>
        <w:ind w:left="3371" w:hanging="360"/>
      </w:pPr>
    </w:lvl>
    <w:lvl w:ilvl="7">
      <w:start w:val="1"/>
      <w:numFmt w:val="lowerLetter"/>
      <w:lvlText w:val="%8."/>
      <w:lvlJc w:val="left"/>
      <w:pPr>
        <w:ind w:left="3731" w:hanging="360"/>
      </w:pPr>
    </w:lvl>
    <w:lvl w:ilvl="8">
      <w:start w:val="1"/>
      <w:numFmt w:val="lowerRoman"/>
      <w:lvlText w:val="%9."/>
      <w:lvlJc w:val="left"/>
      <w:pPr>
        <w:ind w:left="4091" w:hanging="360"/>
      </w:pPr>
    </w:lvl>
  </w:abstractNum>
  <w:abstractNum w:abstractNumId="10">
    <w:nsid w:val="350955A1"/>
    <w:multiLevelType w:val="hybridMultilevel"/>
    <w:tmpl w:val="94F8718C"/>
    <w:lvl w:ilvl="0" w:tplc="4EC69B00">
      <w:start w:val="1"/>
      <w:numFmt w:val="decimal"/>
      <w:lvlText w:val="%1."/>
      <w:lvlJc w:val="left"/>
      <w:pPr>
        <w:tabs>
          <w:tab w:val="num" w:pos="360"/>
        </w:tabs>
        <w:ind w:left="0" w:firstLine="0"/>
      </w:pPr>
      <w:rPr>
        <w:rFonts w:ascii="Times New Roman" w:hAnsi="Times New Roman" w:hint="default"/>
        <w:b w:val="0"/>
        <w:i w:val="0"/>
        <w:sz w:val="20"/>
        <w:szCs w:val="20"/>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nsid w:val="37267208"/>
    <w:multiLevelType w:val="hybridMultilevel"/>
    <w:tmpl w:val="A6B286B2"/>
    <w:lvl w:ilvl="0" w:tplc="8E26CAC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nsid w:val="4ACF336B"/>
    <w:multiLevelType w:val="hybridMultilevel"/>
    <w:tmpl w:val="E45A0FE2"/>
    <w:lvl w:ilvl="0" w:tplc="50869518">
      <w:start w:val="1"/>
      <w:numFmt w:val="lowerLetter"/>
      <w:lvlText w:val="(%1)"/>
      <w:lvlJc w:val="left"/>
      <w:pPr>
        <w:ind w:left="2231" w:hanging="360"/>
      </w:pPr>
      <w:rPr>
        <w:rFonts w:cs="Times New Roman" w:hint="default"/>
      </w:rPr>
    </w:lvl>
    <w:lvl w:ilvl="1" w:tplc="100C0019" w:tentative="1">
      <w:start w:val="1"/>
      <w:numFmt w:val="lowerLetter"/>
      <w:lvlText w:val="%2."/>
      <w:lvlJc w:val="left"/>
      <w:pPr>
        <w:ind w:left="2951" w:hanging="360"/>
      </w:pPr>
    </w:lvl>
    <w:lvl w:ilvl="2" w:tplc="100C001B" w:tentative="1">
      <w:start w:val="1"/>
      <w:numFmt w:val="lowerRoman"/>
      <w:lvlText w:val="%3."/>
      <w:lvlJc w:val="right"/>
      <w:pPr>
        <w:ind w:left="3671" w:hanging="180"/>
      </w:pPr>
    </w:lvl>
    <w:lvl w:ilvl="3" w:tplc="100C000F" w:tentative="1">
      <w:start w:val="1"/>
      <w:numFmt w:val="decimal"/>
      <w:lvlText w:val="%4."/>
      <w:lvlJc w:val="left"/>
      <w:pPr>
        <w:ind w:left="4391" w:hanging="360"/>
      </w:pPr>
    </w:lvl>
    <w:lvl w:ilvl="4" w:tplc="100C0019" w:tentative="1">
      <w:start w:val="1"/>
      <w:numFmt w:val="lowerLetter"/>
      <w:lvlText w:val="%5."/>
      <w:lvlJc w:val="left"/>
      <w:pPr>
        <w:ind w:left="5111" w:hanging="360"/>
      </w:pPr>
    </w:lvl>
    <w:lvl w:ilvl="5" w:tplc="100C001B" w:tentative="1">
      <w:start w:val="1"/>
      <w:numFmt w:val="lowerRoman"/>
      <w:lvlText w:val="%6."/>
      <w:lvlJc w:val="right"/>
      <w:pPr>
        <w:ind w:left="5831" w:hanging="180"/>
      </w:pPr>
    </w:lvl>
    <w:lvl w:ilvl="6" w:tplc="100C000F" w:tentative="1">
      <w:start w:val="1"/>
      <w:numFmt w:val="decimal"/>
      <w:lvlText w:val="%7."/>
      <w:lvlJc w:val="left"/>
      <w:pPr>
        <w:ind w:left="6551" w:hanging="360"/>
      </w:pPr>
    </w:lvl>
    <w:lvl w:ilvl="7" w:tplc="100C0019" w:tentative="1">
      <w:start w:val="1"/>
      <w:numFmt w:val="lowerLetter"/>
      <w:lvlText w:val="%8."/>
      <w:lvlJc w:val="left"/>
      <w:pPr>
        <w:ind w:left="7271" w:hanging="360"/>
      </w:pPr>
    </w:lvl>
    <w:lvl w:ilvl="8" w:tplc="100C001B" w:tentative="1">
      <w:start w:val="1"/>
      <w:numFmt w:val="lowerRoman"/>
      <w:lvlText w:val="%9."/>
      <w:lvlJc w:val="right"/>
      <w:pPr>
        <w:ind w:left="7991" w:hanging="180"/>
      </w:pPr>
    </w:lvl>
  </w:abstractNum>
  <w:abstractNum w:abstractNumId="13">
    <w:nsid w:val="4EEA3230"/>
    <w:multiLevelType w:val="hybridMultilevel"/>
    <w:tmpl w:val="577E0726"/>
    <w:lvl w:ilvl="0" w:tplc="06F07CA0">
      <w:start w:val="1"/>
      <w:numFmt w:val="lowerRoman"/>
      <w:lvlText w:val="(%1)"/>
      <w:lvlJc w:val="right"/>
      <w:pPr>
        <w:ind w:left="2855" w:hanging="360"/>
      </w:pPr>
      <w:rPr>
        <w:rFonts w:hint="default"/>
      </w:rPr>
    </w:lvl>
    <w:lvl w:ilvl="1" w:tplc="100C0019" w:tentative="1">
      <w:start w:val="1"/>
      <w:numFmt w:val="lowerLetter"/>
      <w:lvlText w:val="%2."/>
      <w:lvlJc w:val="left"/>
      <w:pPr>
        <w:ind w:left="3575" w:hanging="360"/>
      </w:pPr>
    </w:lvl>
    <w:lvl w:ilvl="2" w:tplc="100C001B" w:tentative="1">
      <w:start w:val="1"/>
      <w:numFmt w:val="lowerRoman"/>
      <w:lvlText w:val="%3."/>
      <w:lvlJc w:val="right"/>
      <w:pPr>
        <w:ind w:left="4295" w:hanging="180"/>
      </w:pPr>
    </w:lvl>
    <w:lvl w:ilvl="3" w:tplc="100C000F" w:tentative="1">
      <w:start w:val="1"/>
      <w:numFmt w:val="decimal"/>
      <w:lvlText w:val="%4."/>
      <w:lvlJc w:val="left"/>
      <w:pPr>
        <w:ind w:left="5015" w:hanging="360"/>
      </w:pPr>
    </w:lvl>
    <w:lvl w:ilvl="4" w:tplc="100C0019" w:tentative="1">
      <w:start w:val="1"/>
      <w:numFmt w:val="lowerLetter"/>
      <w:lvlText w:val="%5."/>
      <w:lvlJc w:val="left"/>
      <w:pPr>
        <w:ind w:left="5735" w:hanging="360"/>
      </w:pPr>
    </w:lvl>
    <w:lvl w:ilvl="5" w:tplc="100C001B" w:tentative="1">
      <w:start w:val="1"/>
      <w:numFmt w:val="lowerRoman"/>
      <w:lvlText w:val="%6."/>
      <w:lvlJc w:val="right"/>
      <w:pPr>
        <w:ind w:left="6455" w:hanging="180"/>
      </w:pPr>
    </w:lvl>
    <w:lvl w:ilvl="6" w:tplc="100C000F" w:tentative="1">
      <w:start w:val="1"/>
      <w:numFmt w:val="decimal"/>
      <w:lvlText w:val="%7."/>
      <w:lvlJc w:val="left"/>
      <w:pPr>
        <w:ind w:left="7175" w:hanging="360"/>
      </w:pPr>
    </w:lvl>
    <w:lvl w:ilvl="7" w:tplc="100C0019" w:tentative="1">
      <w:start w:val="1"/>
      <w:numFmt w:val="lowerLetter"/>
      <w:lvlText w:val="%8."/>
      <w:lvlJc w:val="left"/>
      <w:pPr>
        <w:ind w:left="7895" w:hanging="360"/>
      </w:pPr>
    </w:lvl>
    <w:lvl w:ilvl="8" w:tplc="100C001B" w:tentative="1">
      <w:start w:val="1"/>
      <w:numFmt w:val="lowerRoman"/>
      <w:lvlText w:val="%9."/>
      <w:lvlJc w:val="right"/>
      <w:pPr>
        <w:ind w:left="8615" w:hanging="180"/>
      </w:pPr>
    </w:lvl>
  </w:abstractNum>
  <w:abstractNum w:abstractNumId="14">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5">
    <w:nsid w:val="55A43D76"/>
    <w:multiLevelType w:val="hybridMultilevel"/>
    <w:tmpl w:val="292246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072989"/>
    <w:multiLevelType w:val="hybridMultilevel"/>
    <w:tmpl w:val="A0C41590"/>
    <w:lvl w:ilvl="0" w:tplc="A866D00A">
      <w:start w:val="4"/>
      <w:numFmt w:val="decimal"/>
      <w:lvlText w:val="%1."/>
      <w:lvlJc w:val="left"/>
      <w:pPr>
        <w:ind w:left="1608" w:hanging="360"/>
      </w:pPr>
      <w:rPr>
        <w:rFonts w:hint="default"/>
      </w:rPr>
    </w:lvl>
    <w:lvl w:ilvl="1" w:tplc="100C0019">
      <w:start w:val="1"/>
      <w:numFmt w:val="lowerLetter"/>
      <w:lvlText w:val="%2."/>
      <w:lvlJc w:val="left"/>
      <w:pPr>
        <w:ind w:left="2328" w:hanging="360"/>
      </w:pPr>
    </w:lvl>
    <w:lvl w:ilvl="2" w:tplc="100C001B" w:tentative="1">
      <w:start w:val="1"/>
      <w:numFmt w:val="lowerRoman"/>
      <w:lvlText w:val="%3."/>
      <w:lvlJc w:val="right"/>
      <w:pPr>
        <w:ind w:left="3048" w:hanging="180"/>
      </w:pPr>
    </w:lvl>
    <w:lvl w:ilvl="3" w:tplc="100C000F" w:tentative="1">
      <w:start w:val="1"/>
      <w:numFmt w:val="decimal"/>
      <w:lvlText w:val="%4."/>
      <w:lvlJc w:val="left"/>
      <w:pPr>
        <w:ind w:left="3768" w:hanging="360"/>
      </w:pPr>
    </w:lvl>
    <w:lvl w:ilvl="4" w:tplc="100C0019" w:tentative="1">
      <w:start w:val="1"/>
      <w:numFmt w:val="lowerLetter"/>
      <w:lvlText w:val="%5."/>
      <w:lvlJc w:val="left"/>
      <w:pPr>
        <w:ind w:left="4488" w:hanging="360"/>
      </w:pPr>
    </w:lvl>
    <w:lvl w:ilvl="5" w:tplc="100C001B" w:tentative="1">
      <w:start w:val="1"/>
      <w:numFmt w:val="lowerRoman"/>
      <w:lvlText w:val="%6."/>
      <w:lvlJc w:val="right"/>
      <w:pPr>
        <w:ind w:left="5208" w:hanging="180"/>
      </w:pPr>
    </w:lvl>
    <w:lvl w:ilvl="6" w:tplc="100C000F" w:tentative="1">
      <w:start w:val="1"/>
      <w:numFmt w:val="decimal"/>
      <w:lvlText w:val="%7."/>
      <w:lvlJc w:val="left"/>
      <w:pPr>
        <w:ind w:left="5928" w:hanging="360"/>
      </w:pPr>
    </w:lvl>
    <w:lvl w:ilvl="7" w:tplc="100C0019" w:tentative="1">
      <w:start w:val="1"/>
      <w:numFmt w:val="lowerLetter"/>
      <w:lvlText w:val="%8."/>
      <w:lvlJc w:val="left"/>
      <w:pPr>
        <w:ind w:left="6648" w:hanging="360"/>
      </w:pPr>
    </w:lvl>
    <w:lvl w:ilvl="8" w:tplc="100C001B" w:tentative="1">
      <w:start w:val="1"/>
      <w:numFmt w:val="lowerRoman"/>
      <w:lvlText w:val="%9."/>
      <w:lvlJc w:val="right"/>
      <w:pPr>
        <w:ind w:left="7368" w:hanging="180"/>
      </w:pPr>
    </w:lvl>
  </w:abstractNum>
  <w:abstractNum w:abstractNumId="17">
    <w:nsid w:val="64530BE1"/>
    <w:multiLevelType w:val="multilevel"/>
    <w:tmpl w:val="4C909B8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83B68A6"/>
    <w:multiLevelType w:val="hybridMultilevel"/>
    <w:tmpl w:val="84F8B63C"/>
    <w:lvl w:ilvl="0" w:tplc="50869518">
      <w:start w:val="1"/>
      <w:numFmt w:val="lowerLetter"/>
      <w:lvlText w:val="(%1)"/>
      <w:lvlJc w:val="left"/>
      <w:pPr>
        <w:ind w:left="2232" w:hanging="360"/>
      </w:pPr>
      <w:rPr>
        <w:rFonts w:cs="Times New Roman" w:hint="default"/>
      </w:rPr>
    </w:lvl>
    <w:lvl w:ilvl="1" w:tplc="100C0019" w:tentative="1">
      <w:start w:val="1"/>
      <w:numFmt w:val="lowerLetter"/>
      <w:lvlText w:val="%2."/>
      <w:lvlJc w:val="left"/>
      <w:pPr>
        <w:ind w:left="2952" w:hanging="360"/>
      </w:pPr>
    </w:lvl>
    <w:lvl w:ilvl="2" w:tplc="100C001B" w:tentative="1">
      <w:start w:val="1"/>
      <w:numFmt w:val="lowerRoman"/>
      <w:lvlText w:val="%3."/>
      <w:lvlJc w:val="right"/>
      <w:pPr>
        <w:ind w:left="3672" w:hanging="180"/>
      </w:pPr>
    </w:lvl>
    <w:lvl w:ilvl="3" w:tplc="100C000F" w:tentative="1">
      <w:start w:val="1"/>
      <w:numFmt w:val="decimal"/>
      <w:lvlText w:val="%4."/>
      <w:lvlJc w:val="left"/>
      <w:pPr>
        <w:ind w:left="4392" w:hanging="360"/>
      </w:pPr>
    </w:lvl>
    <w:lvl w:ilvl="4" w:tplc="100C0019" w:tentative="1">
      <w:start w:val="1"/>
      <w:numFmt w:val="lowerLetter"/>
      <w:lvlText w:val="%5."/>
      <w:lvlJc w:val="left"/>
      <w:pPr>
        <w:ind w:left="5112" w:hanging="360"/>
      </w:pPr>
    </w:lvl>
    <w:lvl w:ilvl="5" w:tplc="100C001B" w:tentative="1">
      <w:start w:val="1"/>
      <w:numFmt w:val="lowerRoman"/>
      <w:lvlText w:val="%6."/>
      <w:lvlJc w:val="right"/>
      <w:pPr>
        <w:ind w:left="5832" w:hanging="180"/>
      </w:pPr>
    </w:lvl>
    <w:lvl w:ilvl="6" w:tplc="100C000F" w:tentative="1">
      <w:start w:val="1"/>
      <w:numFmt w:val="decimal"/>
      <w:lvlText w:val="%7."/>
      <w:lvlJc w:val="left"/>
      <w:pPr>
        <w:ind w:left="6552" w:hanging="360"/>
      </w:pPr>
    </w:lvl>
    <w:lvl w:ilvl="7" w:tplc="100C0019" w:tentative="1">
      <w:start w:val="1"/>
      <w:numFmt w:val="lowerLetter"/>
      <w:lvlText w:val="%8."/>
      <w:lvlJc w:val="left"/>
      <w:pPr>
        <w:ind w:left="7272" w:hanging="360"/>
      </w:pPr>
    </w:lvl>
    <w:lvl w:ilvl="8" w:tplc="100C001B" w:tentative="1">
      <w:start w:val="1"/>
      <w:numFmt w:val="lowerRoman"/>
      <w:lvlText w:val="%9."/>
      <w:lvlJc w:val="right"/>
      <w:pPr>
        <w:ind w:left="7992" w:hanging="180"/>
      </w:pPr>
    </w:lvl>
  </w:abstractNum>
  <w:abstractNum w:abstractNumId="19">
    <w:nsid w:val="7214390E"/>
    <w:multiLevelType w:val="hybridMultilevel"/>
    <w:tmpl w:val="313A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4"/>
    <w:lvlOverride w:ilvl="0">
      <w:lvl w:ilvl="0">
        <w:start w:val="1"/>
        <w:numFmt w:val="decimal"/>
        <w:pStyle w:val="Normalnumb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4">
    <w:abstractNumId w:val="5"/>
  </w:num>
  <w:num w:numId="5">
    <w:abstractNumId w:val="16"/>
  </w:num>
  <w:num w:numId="6">
    <w:abstractNumId w:val="6"/>
  </w:num>
  <w:num w:numId="7">
    <w:abstractNumId w:val="10"/>
  </w:num>
  <w:num w:numId="8">
    <w:abstractNumId w:val="19"/>
  </w:num>
  <w:num w:numId="9">
    <w:abstractNumId w:val="7"/>
  </w:num>
  <w:num w:numId="10">
    <w:abstractNumId w:val="11"/>
  </w:num>
  <w:num w:numId="11">
    <w:abstractNumId w:val="12"/>
  </w:num>
  <w:num w:numId="12">
    <w:abstractNumId w:val="15"/>
  </w:num>
  <w:num w:numId="13">
    <w:abstractNumId w:val="9"/>
  </w:num>
  <w:num w:numId="14">
    <w:abstractNumId w:val="2"/>
  </w:num>
  <w:num w:numId="15">
    <w:abstractNumId w:val="1"/>
  </w:num>
  <w:num w:numId="16">
    <w:abstractNumId w:val="17"/>
  </w:num>
  <w:num w:numId="17">
    <w:abstractNumId w:val="18"/>
  </w:num>
  <w:num w:numId="18">
    <w:abstractNumId w:val="13"/>
  </w:num>
  <w:num w:numId="19">
    <w:abstractNumId w:val="0"/>
  </w:num>
  <w:num w:numId="20">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624"/>
  <w:hyphenationZone w:val="425"/>
  <w:evenAndOddHeaders/>
  <w:drawingGridHorizontalSpacing w:val="110"/>
  <w:displayHorizontalDrawingGridEvery w:val="2"/>
  <w:characterSpacingControl w:val="doNotCompress"/>
  <w:hdrShapeDefaults>
    <o:shapedefaults v:ext="edit" spidmax="19457"/>
  </w:hdrShapeDefaults>
  <w:footnotePr>
    <w:numRestart w:val="eachSect"/>
    <w:footnote w:id="-1"/>
    <w:footnote w:id="0"/>
  </w:footnotePr>
  <w:endnotePr>
    <w:endnote w:id="-1"/>
    <w:endnote w:id="0"/>
  </w:endnotePr>
  <w:compat/>
  <w:rsids>
    <w:rsidRoot w:val="003E714C"/>
    <w:rsid w:val="00005E75"/>
    <w:rsid w:val="00024948"/>
    <w:rsid w:val="00030872"/>
    <w:rsid w:val="00032D20"/>
    <w:rsid w:val="00050246"/>
    <w:rsid w:val="000502F7"/>
    <w:rsid w:val="000505A8"/>
    <w:rsid w:val="000607A6"/>
    <w:rsid w:val="00074833"/>
    <w:rsid w:val="000766D5"/>
    <w:rsid w:val="00082B64"/>
    <w:rsid w:val="00084CAC"/>
    <w:rsid w:val="00085BE8"/>
    <w:rsid w:val="000862FE"/>
    <w:rsid w:val="00096102"/>
    <w:rsid w:val="00096F0F"/>
    <w:rsid w:val="000A25A0"/>
    <w:rsid w:val="000A6459"/>
    <w:rsid w:val="000A7847"/>
    <w:rsid w:val="000C0493"/>
    <w:rsid w:val="000C0C00"/>
    <w:rsid w:val="000C4F8C"/>
    <w:rsid w:val="000C65ED"/>
    <w:rsid w:val="000D0E18"/>
    <w:rsid w:val="000D1BF7"/>
    <w:rsid w:val="000D6815"/>
    <w:rsid w:val="000E5142"/>
    <w:rsid w:val="000E71BC"/>
    <w:rsid w:val="000F3D0E"/>
    <w:rsid w:val="001029D1"/>
    <w:rsid w:val="0012182F"/>
    <w:rsid w:val="00121F31"/>
    <w:rsid w:val="00126A72"/>
    <w:rsid w:val="001346D5"/>
    <w:rsid w:val="00135FCF"/>
    <w:rsid w:val="00153A56"/>
    <w:rsid w:val="00156515"/>
    <w:rsid w:val="00156928"/>
    <w:rsid w:val="00157C44"/>
    <w:rsid w:val="00160E0A"/>
    <w:rsid w:val="00161150"/>
    <w:rsid w:val="00162128"/>
    <w:rsid w:val="00163A06"/>
    <w:rsid w:val="0016400E"/>
    <w:rsid w:val="0017400A"/>
    <w:rsid w:val="00182FA3"/>
    <w:rsid w:val="00186ED9"/>
    <w:rsid w:val="001936DA"/>
    <w:rsid w:val="00194DD0"/>
    <w:rsid w:val="001A3D3C"/>
    <w:rsid w:val="001B611C"/>
    <w:rsid w:val="001C0F39"/>
    <w:rsid w:val="001C2291"/>
    <w:rsid w:val="001C59E9"/>
    <w:rsid w:val="001C719D"/>
    <w:rsid w:val="001D0327"/>
    <w:rsid w:val="001D1ED5"/>
    <w:rsid w:val="001D1EDC"/>
    <w:rsid w:val="001E637A"/>
    <w:rsid w:val="0020016A"/>
    <w:rsid w:val="002014AF"/>
    <w:rsid w:val="00205B4D"/>
    <w:rsid w:val="00206927"/>
    <w:rsid w:val="002144AE"/>
    <w:rsid w:val="002162F5"/>
    <w:rsid w:val="00220B31"/>
    <w:rsid w:val="002254A4"/>
    <w:rsid w:val="002268AA"/>
    <w:rsid w:val="00231BA9"/>
    <w:rsid w:val="00233CFF"/>
    <w:rsid w:val="00236D2B"/>
    <w:rsid w:val="0024413F"/>
    <w:rsid w:val="00250DB1"/>
    <w:rsid w:val="002563D0"/>
    <w:rsid w:val="0026174A"/>
    <w:rsid w:val="002646C5"/>
    <w:rsid w:val="00266CD3"/>
    <w:rsid w:val="00266D61"/>
    <w:rsid w:val="002815CF"/>
    <w:rsid w:val="00291493"/>
    <w:rsid w:val="0029738E"/>
    <w:rsid w:val="002B5FF7"/>
    <w:rsid w:val="002B6AE0"/>
    <w:rsid w:val="002C1134"/>
    <w:rsid w:val="002C49C4"/>
    <w:rsid w:val="002C704B"/>
    <w:rsid w:val="002D0120"/>
    <w:rsid w:val="002D4CDE"/>
    <w:rsid w:val="002E19C7"/>
    <w:rsid w:val="002E2972"/>
    <w:rsid w:val="002F1913"/>
    <w:rsid w:val="003006E3"/>
    <w:rsid w:val="003103CF"/>
    <w:rsid w:val="00311664"/>
    <w:rsid w:val="00313FEE"/>
    <w:rsid w:val="00327211"/>
    <w:rsid w:val="00332035"/>
    <w:rsid w:val="003349E1"/>
    <w:rsid w:val="003361FD"/>
    <w:rsid w:val="00342753"/>
    <w:rsid w:val="00365CF3"/>
    <w:rsid w:val="0036725F"/>
    <w:rsid w:val="00370B9B"/>
    <w:rsid w:val="00373BA3"/>
    <w:rsid w:val="00383633"/>
    <w:rsid w:val="00386E7A"/>
    <w:rsid w:val="0039066F"/>
    <w:rsid w:val="00391381"/>
    <w:rsid w:val="0039619F"/>
    <w:rsid w:val="00396E4F"/>
    <w:rsid w:val="00397C0E"/>
    <w:rsid w:val="003A3A61"/>
    <w:rsid w:val="003A4CE1"/>
    <w:rsid w:val="003B0A95"/>
    <w:rsid w:val="003B36F1"/>
    <w:rsid w:val="003B7104"/>
    <w:rsid w:val="003C1209"/>
    <w:rsid w:val="003C75F9"/>
    <w:rsid w:val="003D6108"/>
    <w:rsid w:val="003E34DC"/>
    <w:rsid w:val="003E612F"/>
    <w:rsid w:val="003E714C"/>
    <w:rsid w:val="003F1020"/>
    <w:rsid w:val="003F2539"/>
    <w:rsid w:val="003F6CA6"/>
    <w:rsid w:val="004079CC"/>
    <w:rsid w:val="004122B7"/>
    <w:rsid w:val="00420A09"/>
    <w:rsid w:val="00421775"/>
    <w:rsid w:val="0042439C"/>
    <w:rsid w:val="00430A04"/>
    <w:rsid w:val="00434C8E"/>
    <w:rsid w:val="00435094"/>
    <w:rsid w:val="0045138D"/>
    <w:rsid w:val="00452095"/>
    <w:rsid w:val="004540B5"/>
    <w:rsid w:val="00467DFC"/>
    <w:rsid w:val="00476C63"/>
    <w:rsid w:val="00477116"/>
    <w:rsid w:val="00492FD5"/>
    <w:rsid w:val="004A2861"/>
    <w:rsid w:val="004B61C7"/>
    <w:rsid w:val="004B6B64"/>
    <w:rsid w:val="004C70F0"/>
    <w:rsid w:val="004D37D1"/>
    <w:rsid w:val="004D42BD"/>
    <w:rsid w:val="004E413C"/>
    <w:rsid w:val="00514D73"/>
    <w:rsid w:val="0053164F"/>
    <w:rsid w:val="00536E3F"/>
    <w:rsid w:val="005521FD"/>
    <w:rsid w:val="005524EE"/>
    <w:rsid w:val="00557707"/>
    <w:rsid w:val="005609D8"/>
    <w:rsid w:val="00560BAE"/>
    <w:rsid w:val="005661C2"/>
    <w:rsid w:val="00572A9F"/>
    <w:rsid w:val="0057347F"/>
    <w:rsid w:val="0058064B"/>
    <w:rsid w:val="0058145D"/>
    <w:rsid w:val="0059421C"/>
    <w:rsid w:val="005A2866"/>
    <w:rsid w:val="005A5344"/>
    <w:rsid w:val="005B1C35"/>
    <w:rsid w:val="005B471B"/>
    <w:rsid w:val="005C01D3"/>
    <w:rsid w:val="005D1FC3"/>
    <w:rsid w:val="005D3B2B"/>
    <w:rsid w:val="005F524F"/>
    <w:rsid w:val="00600A09"/>
    <w:rsid w:val="00611D0E"/>
    <w:rsid w:val="00626F63"/>
    <w:rsid w:val="006313D5"/>
    <w:rsid w:val="0064037E"/>
    <w:rsid w:val="00644798"/>
    <w:rsid w:val="00647C28"/>
    <w:rsid w:val="00662C2B"/>
    <w:rsid w:val="006754E3"/>
    <w:rsid w:val="00681BA8"/>
    <w:rsid w:val="006A37B9"/>
    <w:rsid w:val="006C024E"/>
    <w:rsid w:val="006C08BD"/>
    <w:rsid w:val="006C2B42"/>
    <w:rsid w:val="006C7895"/>
    <w:rsid w:val="006D1B94"/>
    <w:rsid w:val="006D3F64"/>
    <w:rsid w:val="006D4ED7"/>
    <w:rsid w:val="006D5D26"/>
    <w:rsid w:val="006F0374"/>
    <w:rsid w:val="006F16F4"/>
    <w:rsid w:val="007010FC"/>
    <w:rsid w:val="00703ECB"/>
    <w:rsid w:val="00717346"/>
    <w:rsid w:val="00722881"/>
    <w:rsid w:val="00726656"/>
    <w:rsid w:val="00726E8F"/>
    <w:rsid w:val="00732BFF"/>
    <w:rsid w:val="00736CA9"/>
    <w:rsid w:val="0074699F"/>
    <w:rsid w:val="00760582"/>
    <w:rsid w:val="00766850"/>
    <w:rsid w:val="00786CCB"/>
    <w:rsid w:val="00791ECB"/>
    <w:rsid w:val="007A08D0"/>
    <w:rsid w:val="007A6810"/>
    <w:rsid w:val="007B0882"/>
    <w:rsid w:val="007B3A01"/>
    <w:rsid w:val="007C6509"/>
    <w:rsid w:val="007D361E"/>
    <w:rsid w:val="007E61F5"/>
    <w:rsid w:val="007F1410"/>
    <w:rsid w:val="007F14AB"/>
    <w:rsid w:val="008014BB"/>
    <w:rsid w:val="00806F2B"/>
    <w:rsid w:val="008136D2"/>
    <w:rsid w:val="00820A88"/>
    <w:rsid w:val="0082101C"/>
    <w:rsid w:val="00824E79"/>
    <w:rsid w:val="0083504C"/>
    <w:rsid w:val="0083767A"/>
    <w:rsid w:val="00837DFF"/>
    <w:rsid w:val="00841DCE"/>
    <w:rsid w:val="00852703"/>
    <w:rsid w:val="0085506D"/>
    <w:rsid w:val="00856BC6"/>
    <w:rsid w:val="00857D14"/>
    <w:rsid w:val="00866A4A"/>
    <w:rsid w:val="00871FC2"/>
    <w:rsid w:val="00885374"/>
    <w:rsid w:val="00890879"/>
    <w:rsid w:val="008926D0"/>
    <w:rsid w:val="0089512B"/>
    <w:rsid w:val="008A339A"/>
    <w:rsid w:val="008A3BE3"/>
    <w:rsid w:val="008B1FA4"/>
    <w:rsid w:val="008B626C"/>
    <w:rsid w:val="008B70BF"/>
    <w:rsid w:val="008C18F6"/>
    <w:rsid w:val="008C6005"/>
    <w:rsid w:val="008F127B"/>
    <w:rsid w:val="009075C4"/>
    <w:rsid w:val="00911D8F"/>
    <w:rsid w:val="00923C6B"/>
    <w:rsid w:val="00930881"/>
    <w:rsid w:val="00946CDE"/>
    <w:rsid w:val="009604A9"/>
    <w:rsid w:val="00970184"/>
    <w:rsid w:val="00972382"/>
    <w:rsid w:val="009973EA"/>
    <w:rsid w:val="00997C43"/>
    <w:rsid w:val="009C1BE6"/>
    <w:rsid w:val="009C50CD"/>
    <w:rsid w:val="009D1734"/>
    <w:rsid w:val="009E14D3"/>
    <w:rsid w:val="009E3359"/>
    <w:rsid w:val="009E694C"/>
    <w:rsid w:val="009F5E4E"/>
    <w:rsid w:val="009F635F"/>
    <w:rsid w:val="009F7079"/>
    <w:rsid w:val="00A0128A"/>
    <w:rsid w:val="00A03A19"/>
    <w:rsid w:val="00A077AC"/>
    <w:rsid w:val="00A10A26"/>
    <w:rsid w:val="00A14984"/>
    <w:rsid w:val="00A24BED"/>
    <w:rsid w:val="00A3008C"/>
    <w:rsid w:val="00A40423"/>
    <w:rsid w:val="00A409C1"/>
    <w:rsid w:val="00A447F8"/>
    <w:rsid w:val="00A511FE"/>
    <w:rsid w:val="00A55E57"/>
    <w:rsid w:val="00A613AE"/>
    <w:rsid w:val="00A65437"/>
    <w:rsid w:val="00A656C3"/>
    <w:rsid w:val="00A7035F"/>
    <w:rsid w:val="00A80A91"/>
    <w:rsid w:val="00A80F86"/>
    <w:rsid w:val="00AB4411"/>
    <w:rsid w:val="00AC0309"/>
    <w:rsid w:val="00AC0820"/>
    <w:rsid w:val="00AC14F9"/>
    <w:rsid w:val="00AD09FA"/>
    <w:rsid w:val="00AD7BF6"/>
    <w:rsid w:val="00AE792E"/>
    <w:rsid w:val="00AE7E64"/>
    <w:rsid w:val="00AF447E"/>
    <w:rsid w:val="00B11C8B"/>
    <w:rsid w:val="00B13C45"/>
    <w:rsid w:val="00B42BB6"/>
    <w:rsid w:val="00B45F0C"/>
    <w:rsid w:val="00B52E5B"/>
    <w:rsid w:val="00B57F3D"/>
    <w:rsid w:val="00B656F6"/>
    <w:rsid w:val="00B66555"/>
    <w:rsid w:val="00B71D99"/>
    <w:rsid w:val="00B74EC3"/>
    <w:rsid w:val="00B81F83"/>
    <w:rsid w:val="00B82388"/>
    <w:rsid w:val="00B8433F"/>
    <w:rsid w:val="00B873A3"/>
    <w:rsid w:val="00B92809"/>
    <w:rsid w:val="00B97A8B"/>
    <w:rsid w:val="00BA37E9"/>
    <w:rsid w:val="00BA5708"/>
    <w:rsid w:val="00BA6EA3"/>
    <w:rsid w:val="00BC0088"/>
    <w:rsid w:val="00BD119E"/>
    <w:rsid w:val="00BD3075"/>
    <w:rsid w:val="00BD3EAB"/>
    <w:rsid w:val="00BD5D54"/>
    <w:rsid w:val="00C0339C"/>
    <w:rsid w:val="00C04A43"/>
    <w:rsid w:val="00C10B03"/>
    <w:rsid w:val="00C13F28"/>
    <w:rsid w:val="00C17365"/>
    <w:rsid w:val="00C243E6"/>
    <w:rsid w:val="00C245AD"/>
    <w:rsid w:val="00C30287"/>
    <w:rsid w:val="00C32DAF"/>
    <w:rsid w:val="00C425F4"/>
    <w:rsid w:val="00C46246"/>
    <w:rsid w:val="00C679B9"/>
    <w:rsid w:val="00C75DDA"/>
    <w:rsid w:val="00C810F9"/>
    <w:rsid w:val="00C834F5"/>
    <w:rsid w:val="00C958ED"/>
    <w:rsid w:val="00C9653C"/>
    <w:rsid w:val="00CA7D92"/>
    <w:rsid w:val="00CC1B94"/>
    <w:rsid w:val="00CC6C3E"/>
    <w:rsid w:val="00CD20A4"/>
    <w:rsid w:val="00CD3133"/>
    <w:rsid w:val="00CD3330"/>
    <w:rsid w:val="00CE5A18"/>
    <w:rsid w:val="00CF1E31"/>
    <w:rsid w:val="00CF35DA"/>
    <w:rsid w:val="00CF5127"/>
    <w:rsid w:val="00D03724"/>
    <w:rsid w:val="00D102BD"/>
    <w:rsid w:val="00D11817"/>
    <w:rsid w:val="00D2447E"/>
    <w:rsid w:val="00D30328"/>
    <w:rsid w:val="00D30E49"/>
    <w:rsid w:val="00D34342"/>
    <w:rsid w:val="00D525C9"/>
    <w:rsid w:val="00D541DC"/>
    <w:rsid w:val="00D62AE2"/>
    <w:rsid w:val="00D66993"/>
    <w:rsid w:val="00D73B90"/>
    <w:rsid w:val="00D74548"/>
    <w:rsid w:val="00D768D8"/>
    <w:rsid w:val="00D951D7"/>
    <w:rsid w:val="00DA236C"/>
    <w:rsid w:val="00DA6C42"/>
    <w:rsid w:val="00DA707E"/>
    <w:rsid w:val="00DB0522"/>
    <w:rsid w:val="00DB06BD"/>
    <w:rsid w:val="00DB58DE"/>
    <w:rsid w:val="00DB7585"/>
    <w:rsid w:val="00DC4DF4"/>
    <w:rsid w:val="00DD6303"/>
    <w:rsid w:val="00DF19D3"/>
    <w:rsid w:val="00DF5CA9"/>
    <w:rsid w:val="00E03071"/>
    <w:rsid w:val="00E0629C"/>
    <w:rsid w:val="00E15E1C"/>
    <w:rsid w:val="00E21F58"/>
    <w:rsid w:val="00E25180"/>
    <w:rsid w:val="00E2671E"/>
    <w:rsid w:val="00E31590"/>
    <w:rsid w:val="00E357B8"/>
    <w:rsid w:val="00E4349F"/>
    <w:rsid w:val="00E50565"/>
    <w:rsid w:val="00E56A03"/>
    <w:rsid w:val="00E67BBC"/>
    <w:rsid w:val="00E75702"/>
    <w:rsid w:val="00E834CE"/>
    <w:rsid w:val="00E87A2D"/>
    <w:rsid w:val="00E957B6"/>
    <w:rsid w:val="00EA3E23"/>
    <w:rsid w:val="00EA4129"/>
    <w:rsid w:val="00EB2312"/>
    <w:rsid w:val="00EB54D4"/>
    <w:rsid w:val="00EC22C8"/>
    <w:rsid w:val="00EC4D84"/>
    <w:rsid w:val="00EC6CB4"/>
    <w:rsid w:val="00ED4D11"/>
    <w:rsid w:val="00ED769F"/>
    <w:rsid w:val="00EE47EC"/>
    <w:rsid w:val="00EF4C45"/>
    <w:rsid w:val="00F01447"/>
    <w:rsid w:val="00F075B0"/>
    <w:rsid w:val="00F13047"/>
    <w:rsid w:val="00F23D6F"/>
    <w:rsid w:val="00F26A45"/>
    <w:rsid w:val="00F272A8"/>
    <w:rsid w:val="00F314EC"/>
    <w:rsid w:val="00F45EBC"/>
    <w:rsid w:val="00F519E7"/>
    <w:rsid w:val="00F60938"/>
    <w:rsid w:val="00F659DA"/>
    <w:rsid w:val="00F7229A"/>
    <w:rsid w:val="00F7516C"/>
    <w:rsid w:val="00F86594"/>
    <w:rsid w:val="00F938C3"/>
    <w:rsid w:val="00F96674"/>
    <w:rsid w:val="00FA2D1D"/>
    <w:rsid w:val="00FA393D"/>
    <w:rsid w:val="00FA4E0F"/>
    <w:rsid w:val="00FB35BB"/>
    <w:rsid w:val="00FB3D27"/>
    <w:rsid w:val="00FB5BFD"/>
    <w:rsid w:val="00FC564B"/>
    <w:rsid w:val="00FC5B72"/>
    <w:rsid w:val="00FC70A3"/>
    <w:rsid w:val="00FD0F27"/>
    <w:rsid w:val="00FD3475"/>
    <w:rsid w:val="00FD4D95"/>
    <w:rsid w:val="00FE3E8C"/>
    <w:rsid w:val="00FE5B5A"/>
    <w:rsid w:val="00FF57C5"/>
    <w:rsid w:val="00FF7637"/>
  </w:rsids>
  <m:mathPr>
    <m:mathFont m:val="Cambria Math"/>
    <m:brkBin m:val="before"/>
    <m:brkBinSub m:val="--"/>
    <m:smallFrac m:val="off"/>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14C"/>
    <w:rPr>
      <w:sz w:val="22"/>
      <w:lang w:val="en-GB"/>
    </w:rPr>
  </w:style>
  <w:style w:type="paragraph" w:styleId="Heading2">
    <w:name w:val="heading 2"/>
    <w:basedOn w:val="Normal"/>
    <w:next w:val="Normal"/>
    <w:qFormat/>
    <w:rsid w:val="003E714C"/>
    <w:pPr>
      <w:keepNext/>
      <w:ind w:left="1157"/>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DNV-FT,93,single space,Footnote Text Rail EIS,ft,Char,footnote3,Footnotes,Footnote ak,fn cafc,Footnotes Char Char,Footnote Text Char Char,fn Char Char,footnote text,footnote text Char Char Char Ch"/>
    <w:basedOn w:val="Normal"/>
    <w:link w:val="FootnoteTextChar"/>
    <w:rsid w:val="003E714C"/>
  </w:style>
  <w:style w:type="character" w:styleId="FootnoteReference">
    <w:name w:val="footnote reference"/>
    <w:aliases w:val="16 Point,Superscript 6 Point,ftref,(Ref. de nota al pie),number,SUPERS,Footnote Reference Superscript"/>
    <w:basedOn w:val="DefaultParagraphFont"/>
    <w:rsid w:val="003E714C"/>
    <w:rPr>
      <w:vertAlign w:val="superscript"/>
    </w:rPr>
  </w:style>
  <w:style w:type="paragraph" w:styleId="Title">
    <w:name w:val="Title"/>
    <w:basedOn w:val="Normal"/>
    <w:autoRedefine/>
    <w:qFormat/>
    <w:rsid w:val="006E5F64"/>
    <w:pPr>
      <w:spacing w:before="360" w:after="240"/>
      <w:ind w:left="1247" w:right="567"/>
      <w:outlineLvl w:val="0"/>
    </w:pPr>
    <w:rPr>
      <w:rFonts w:cs="Arial"/>
      <w:b/>
      <w:bCs/>
      <w:kern w:val="28"/>
      <w:sz w:val="28"/>
      <w:szCs w:val="28"/>
      <w:lang w:val="en-US"/>
    </w:rPr>
  </w:style>
  <w:style w:type="paragraph" w:customStyle="1" w:styleId="main">
    <w:name w:val="main"/>
    <w:basedOn w:val="Normal"/>
    <w:autoRedefine/>
    <w:rsid w:val="00911575"/>
    <w:pPr>
      <w:spacing w:after="120"/>
      <w:ind w:left="2495" w:hanging="624"/>
    </w:pPr>
    <w:rPr>
      <w:sz w:val="20"/>
      <w:szCs w:val="22"/>
      <w:lang w:val="en-US"/>
    </w:rPr>
  </w:style>
  <w:style w:type="character" w:customStyle="1" w:styleId="FootnoteTextChar">
    <w:name w:val="Footnote Text Char"/>
    <w:aliases w:val="Geneva 9 Char,Font: Geneva 9 Char,Boston 10 Char,DNV-FT Char,93 Char,single space Char,Footnote Text Rail EIS Char,ft Char,Char Char,footnote3 Char,Footnotes Char,Footnote ak Char,fn cafc Char,Footnotes Char Char Char"/>
    <w:basedOn w:val="DefaultParagraphFont"/>
    <w:link w:val="FootnoteText"/>
    <w:rsid w:val="003E714C"/>
    <w:rPr>
      <w:sz w:val="22"/>
      <w:lang w:val="en-GB" w:eastAsia="en-US" w:bidi="ar-SA"/>
    </w:rPr>
  </w:style>
  <w:style w:type="paragraph" w:styleId="Header">
    <w:name w:val="header"/>
    <w:basedOn w:val="Normal"/>
    <w:link w:val="HeaderChar"/>
    <w:rsid w:val="003E714C"/>
    <w:pPr>
      <w:tabs>
        <w:tab w:val="center" w:pos="4320"/>
        <w:tab w:val="right" w:pos="8640"/>
      </w:tabs>
    </w:pPr>
  </w:style>
  <w:style w:type="paragraph" w:styleId="Footer">
    <w:name w:val="footer"/>
    <w:basedOn w:val="Normal"/>
    <w:link w:val="FooterChar"/>
    <w:uiPriority w:val="99"/>
    <w:rsid w:val="003E714C"/>
    <w:pPr>
      <w:tabs>
        <w:tab w:val="center" w:pos="4320"/>
        <w:tab w:val="right" w:pos="8640"/>
      </w:tabs>
    </w:pPr>
  </w:style>
  <w:style w:type="paragraph" w:styleId="Caption">
    <w:name w:val="caption"/>
    <w:basedOn w:val="Normal"/>
    <w:next w:val="Normal"/>
    <w:qFormat/>
    <w:rsid w:val="003E714C"/>
    <w:pPr>
      <w:widowControl w:val="0"/>
    </w:pPr>
    <w:rPr>
      <w:snapToGrid w:val="0"/>
      <w:sz w:val="24"/>
    </w:rPr>
  </w:style>
  <w:style w:type="character" w:styleId="PageNumber">
    <w:name w:val="page number"/>
    <w:basedOn w:val="DefaultParagraphFont"/>
    <w:rsid w:val="00DB2DAE"/>
  </w:style>
  <w:style w:type="paragraph" w:styleId="BalloonText">
    <w:name w:val="Balloon Text"/>
    <w:basedOn w:val="Normal"/>
    <w:semiHidden/>
    <w:rsid w:val="00513BDD"/>
    <w:rPr>
      <w:rFonts w:ascii="Tahoma" w:hAnsi="Tahoma" w:cs="Tahoma"/>
      <w:sz w:val="16"/>
      <w:szCs w:val="16"/>
    </w:rPr>
  </w:style>
  <w:style w:type="paragraph" w:customStyle="1" w:styleId="CH1">
    <w:name w:val="CH1"/>
    <w:basedOn w:val="Heading2"/>
    <w:autoRedefine/>
    <w:rsid w:val="001C2291"/>
    <w:pPr>
      <w:keepNext w:val="0"/>
      <w:tabs>
        <w:tab w:val="right" w:pos="851"/>
        <w:tab w:val="left" w:pos="1247"/>
        <w:tab w:val="left" w:pos="1814"/>
        <w:tab w:val="left" w:pos="2381"/>
        <w:tab w:val="left" w:pos="2948"/>
        <w:tab w:val="left" w:pos="3515"/>
      </w:tabs>
      <w:suppressAutoHyphens/>
      <w:spacing w:before="240" w:after="120"/>
      <w:ind w:left="1247" w:right="284" w:hanging="1247"/>
      <w:outlineLvl w:val="9"/>
    </w:pPr>
    <w:rPr>
      <w:sz w:val="28"/>
      <w:szCs w:val="28"/>
      <w:lang w:val="en-US"/>
    </w:rPr>
  </w:style>
  <w:style w:type="paragraph" w:customStyle="1" w:styleId="CH2">
    <w:name w:val="CH2"/>
    <w:basedOn w:val="Normal"/>
    <w:autoRedefine/>
    <w:rsid w:val="0042067C"/>
    <w:pPr>
      <w:keepNext/>
      <w:spacing w:before="240" w:after="240"/>
      <w:ind w:left="1248" w:right="567" w:hanging="624"/>
      <w:outlineLvl w:val="1"/>
    </w:pPr>
    <w:rPr>
      <w:b/>
      <w:bCs/>
      <w:sz w:val="24"/>
      <w:szCs w:val="24"/>
    </w:rPr>
  </w:style>
  <w:style w:type="paragraph" w:customStyle="1" w:styleId="Paralevel1">
    <w:name w:val="Para level1"/>
    <w:basedOn w:val="Normal"/>
    <w:autoRedefine/>
    <w:rsid w:val="000C215A"/>
    <w:pPr>
      <w:numPr>
        <w:numId w:val="1"/>
      </w:numPr>
      <w:suppressAutoHyphens/>
      <w:spacing w:after="120"/>
    </w:pPr>
    <w:rPr>
      <w:sz w:val="20"/>
    </w:rPr>
  </w:style>
  <w:style w:type="character" w:styleId="CommentReference">
    <w:name w:val="annotation reference"/>
    <w:basedOn w:val="DefaultParagraphFont"/>
    <w:semiHidden/>
    <w:rsid w:val="00FE0DB6"/>
    <w:rPr>
      <w:sz w:val="18"/>
    </w:rPr>
  </w:style>
  <w:style w:type="paragraph" w:styleId="CommentText">
    <w:name w:val="annotation text"/>
    <w:basedOn w:val="Normal"/>
    <w:semiHidden/>
    <w:rsid w:val="00FE0DB6"/>
    <w:rPr>
      <w:sz w:val="24"/>
      <w:szCs w:val="24"/>
    </w:rPr>
  </w:style>
  <w:style w:type="paragraph" w:styleId="CommentSubject">
    <w:name w:val="annotation subject"/>
    <w:basedOn w:val="CommentText"/>
    <w:next w:val="CommentText"/>
    <w:semiHidden/>
    <w:rsid w:val="00FE0DB6"/>
    <w:rPr>
      <w:sz w:val="22"/>
      <w:szCs w:val="20"/>
    </w:rPr>
  </w:style>
  <w:style w:type="paragraph" w:customStyle="1" w:styleId="BBTitle">
    <w:name w:val="BB_Title"/>
    <w:basedOn w:val="Normal"/>
    <w:rsid w:val="005524EE"/>
    <w:pPr>
      <w:keepNext/>
      <w:keepLines/>
      <w:tabs>
        <w:tab w:val="left" w:pos="1247"/>
        <w:tab w:val="left" w:pos="1814"/>
        <w:tab w:val="left" w:pos="2381"/>
        <w:tab w:val="left" w:pos="2948"/>
        <w:tab w:val="left" w:pos="3515"/>
      </w:tabs>
      <w:suppressAutoHyphens/>
      <w:spacing w:before="320" w:after="240"/>
      <w:ind w:left="1247" w:right="567"/>
    </w:pPr>
    <w:rPr>
      <w:b/>
      <w:sz w:val="28"/>
      <w:szCs w:val="28"/>
      <w:lang w:val="fr-FR"/>
    </w:rPr>
  </w:style>
  <w:style w:type="paragraph" w:customStyle="1" w:styleId="CH3">
    <w:name w:val="CH3"/>
    <w:basedOn w:val="Normal"/>
    <w:next w:val="Normal"/>
    <w:rsid w:val="005524EE"/>
    <w:pPr>
      <w:keepNext/>
      <w:keepLines/>
      <w:tabs>
        <w:tab w:val="right" w:pos="851"/>
        <w:tab w:val="left" w:pos="1247"/>
        <w:tab w:val="left" w:pos="1814"/>
        <w:tab w:val="left" w:pos="2381"/>
        <w:tab w:val="left" w:pos="2948"/>
        <w:tab w:val="left" w:pos="3515"/>
      </w:tabs>
      <w:suppressAutoHyphens/>
      <w:spacing w:after="120"/>
      <w:ind w:left="1247" w:right="284" w:hanging="1247"/>
    </w:pPr>
    <w:rPr>
      <w:b/>
      <w:sz w:val="20"/>
      <w:lang w:val="fr-FR"/>
    </w:rPr>
  </w:style>
  <w:style w:type="paragraph" w:customStyle="1" w:styleId="ZZAnxheader">
    <w:name w:val="ZZ_Anx_header"/>
    <w:basedOn w:val="Normal"/>
    <w:rsid w:val="005524EE"/>
    <w:pPr>
      <w:tabs>
        <w:tab w:val="left" w:pos="1247"/>
        <w:tab w:val="left" w:pos="1814"/>
        <w:tab w:val="left" w:pos="2381"/>
        <w:tab w:val="left" w:pos="2948"/>
        <w:tab w:val="left" w:pos="3515"/>
      </w:tabs>
    </w:pPr>
    <w:rPr>
      <w:b/>
      <w:bCs/>
      <w:sz w:val="28"/>
      <w:szCs w:val="22"/>
      <w:lang w:val="fr-FR"/>
    </w:rPr>
  </w:style>
  <w:style w:type="paragraph" w:customStyle="1" w:styleId="ZZAnxtitle">
    <w:name w:val="ZZ_Anx_title"/>
    <w:basedOn w:val="Normal"/>
    <w:rsid w:val="005524EE"/>
    <w:pPr>
      <w:tabs>
        <w:tab w:val="left" w:pos="1247"/>
        <w:tab w:val="left" w:pos="1814"/>
        <w:tab w:val="left" w:pos="2381"/>
        <w:tab w:val="left" w:pos="2948"/>
        <w:tab w:val="left" w:pos="3515"/>
      </w:tabs>
      <w:spacing w:before="360" w:after="120"/>
      <w:ind w:left="1247"/>
    </w:pPr>
    <w:rPr>
      <w:b/>
      <w:bCs/>
      <w:sz w:val="28"/>
      <w:szCs w:val="26"/>
      <w:lang w:val="fr-FR"/>
    </w:rPr>
  </w:style>
  <w:style w:type="paragraph" w:customStyle="1" w:styleId="Subtitle">
    <w:name w:val="Sub title"/>
    <w:basedOn w:val="Heading2"/>
    <w:rsid w:val="00EB2312"/>
    <w:pPr>
      <w:spacing w:after="240"/>
      <w:ind w:left="1247"/>
    </w:pPr>
  </w:style>
  <w:style w:type="paragraph" w:customStyle="1" w:styleId="AATitle">
    <w:name w:val="AA_Title"/>
    <w:basedOn w:val="Normal"/>
    <w:rsid w:val="00EB2312"/>
    <w:pPr>
      <w:keepNext/>
      <w:keepLines/>
      <w:tabs>
        <w:tab w:val="left" w:pos="1247"/>
        <w:tab w:val="left" w:pos="1814"/>
        <w:tab w:val="left" w:pos="2381"/>
        <w:tab w:val="left" w:pos="2948"/>
        <w:tab w:val="left" w:pos="3515"/>
      </w:tabs>
      <w:suppressAutoHyphens/>
      <w:ind w:right="3402"/>
    </w:pPr>
    <w:rPr>
      <w:b/>
      <w:sz w:val="20"/>
    </w:rPr>
  </w:style>
  <w:style w:type="paragraph" w:customStyle="1" w:styleId="Normal-pool">
    <w:name w:val="Normal-pool"/>
    <w:link w:val="Normal-poolChar"/>
    <w:uiPriority w:val="99"/>
    <w:rsid w:val="004D37D1"/>
    <w:pPr>
      <w:tabs>
        <w:tab w:val="left" w:pos="1247"/>
        <w:tab w:val="left" w:pos="1814"/>
        <w:tab w:val="left" w:pos="2381"/>
        <w:tab w:val="left" w:pos="2948"/>
        <w:tab w:val="left" w:pos="3515"/>
      </w:tabs>
    </w:pPr>
  </w:style>
  <w:style w:type="paragraph" w:customStyle="1" w:styleId="Normalnumber">
    <w:name w:val="Normal_number"/>
    <w:basedOn w:val="Normal-pool"/>
    <w:link w:val="NormalnumberChar"/>
    <w:rsid w:val="00C243E6"/>
    <w:pPr>
      <w:numPr>
        <w:numId w:val="3"/>
      </w:numPr>
      <w:spacing w:after="120"/>
    </w:pPr>
    <w:rPr>
      <w:lang w:val="en-GB"/>
    </w:rPr>
  </w:style>
  <w:style w:type="numbering" w:customStyle="1" w:styleId="Normallist">
    <w:name w:val="Normal_list"/>
    <w:basedOn w:val="NoList"/>
    <w:rsid w:val="00C243E6"/>
    <w:pPr>
      <w:numPr>
        <w:numId w:val="2"/>
      </w:numPr>
    </w:pPr>
  </w:style>
  <w:style w:type="character" w:customStyle="1" w:styleId="FooterChar">
    <w:name w:val="Footer Char"/>
    <w:basedOn w:val="DefaultParagraphFont"/>
    <w:link w:val="Footer"/>
    <w:uiPriority w:val="99"/>
    <w:rsid w:val="00126A72"/>
    <w:rPr>
      <w:sz w:val="22"/>
      <w:lang w:val="en-GB" w:eastAsia="en-US"/>
    </w:rPr>
  </w:style>
  <w:style w:type="table" w:styleId="TableGrid">
    <w:name w:val="Table Grid"/>
    <w:basedOn w:val="TableNormal"/>
    <w:uiPriority w:val="59"/>
    <w:rsid w:val="008550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numberChar">
    <w:name w:val="Normal_number Char"/>
    <w:link w:val="Normalnumber"/>
    <w:locked/>
    <w:rsid w:val="00EC22C8"/>
    <w:rPr>
      <w:lang w:val="en-GB" w:eastAsia="en-US"/>
    </w:rPr>
  </w:style>
  <w:style w:type="character" w:customStyle="1" w:styleId="HeaderChar">
    <w:name w:val="Header Char"/>
    <w:basedOn w:val="DefaultParagraphFont"/>
    <w:link w:val="Header"/>
    <w:locked/>
    <w:rsid w:val="00C32DAF"/>
    <w:rPr>
      <w:sz w:val="22"/>
      <w:lang w:val="en-GB" w:eastAsia="en-US"/>
    </w:rPr>
  </w:style>
  <w:style w:type="character" w:customStyle="1" w:styleId="Normal-poolChar">
    <w:name w:val="Normal-pool Char"/>
    <w:link w:val="Normal-pool"/>
    <w:uiPriority w:val="99"/>
    <w:rsid w:val="004122B7"/>
    <w:rPr>
      <w:lang w:eastAsia="en-US" w:bidi="ar-SA"/>
    </w:rPr>
  </w:style>
  <w:style w:type="paragraph" w:styleId="Revision">
    <w:name w:val="Revision"/>
    <w:hidden/>
    <w:uiPriority w:val="99"/>
    <w:semiHidden/>
    <w:rsid w:val="00434C8E"/>
    <w:rPr>
      <w:sz w:val="22"/>
      <w:lang w:val="en-GB"/>
    </w:rPr>
  </w:style>
  <w:style w:type="character" w:styleId="Hyperlink">
    <w:name w:val="Hyperlink"/>
    <w:basedOn w:val="DefaultParagraphFont"/>
    <w:rsid w:val="00327211"/>
    <w:rPr>
      <w:color w:val="0000FF"/>
      <w:u w:val="single"/>
    </w:rPr>
  </w:style>
  <w:style w:type="paragraph" w:styleId="ListParagraph">
    <w:name w:val="List Paragraph"/>
    <w:basedOn w:val="Normal"/>
    <w:uiPriority w:val="34"/>
    <w:qFormat/>
    <w:rsid w:val="00AD7BF6"/>
    <w:pPr>
      <w:ind w:left="720"/>
      <w:contextualSpacing/>
    </w:pPr>
  </w:style>
  <w:style w:type="paragraph" w:customStyle="1" w:styleId="Default">
    <w:name w:val="Default"/>
    <w:rsid w:val="003F1020"/>
    <w:pPr>
      <w:widowControl w:val="0"/>
      <w:autoSpaceDE w:val="0"/>
      <w:autoSpaceDN w:val="0"/>
      <w:adjustRightInd w:val="0"/>
    </w:pPr>
    <w:rPr>
      <w:rFonts w:ascii="NBMAD C+ Univers. Bold 0117" w:hAnsi="NBMAD C+ Univers. Bold 0117" w:cs="NBMAD C+ Univers. Bold 0117"/>
      <w:color w:val="000000"/>
      <w:sz w:val="24"/>
      <w:szCs w:val="24"/>
      <w:lang w:eastAsia="zh-CN"/>
    </w:rPr>
  </w:style>
  <w:style w:type="paragraph" w:customStyle="1" w:styleId="CM12">
    <w:name w:val="CM12"/>
    <w:basedOn w:val="Default"/>
    <w:next w:val="Default"/>
    <w:uiPriority w:val="99"/>
    <w:rsid w:val="003F1020"/>
    <w:rPr>
      <w:rFonts w:cs="Times New Roman"/>
      <w:color w:val="auto"/>
    </w:rPr>
  </w:style>
  <w:style w:type="paragraph" w:styleId="NormalWeb">
    <w:name w:val="Normal (Web)"/>
    <w:basedOn w:val="Normal"/>
    <w:rsid w:val="003F2539"/>
    <w:pPr>
      <w:spacing w:before="100" w:beforeAutospacing="1" w:after="100" w:afterAutospacing="1"/>
    </w:pPr>
    <w:rPr>
      <w:rFonts w:eastAsia="SimSun"/>
      <w:sz w:val="24"/>
      <w:szCs w:val="24"/>
      <w:lang w:val="en-US" w:eastAsia="zh-CN"/>
    </w:rPr>
  </w:style>
  <w:style w:type="table" w:customStyle="1" w:styleId="TableGrid1">
    <w:name w:val="Table Grid1"/>
    <w:basedOn w:val="TableNormal"/>
    <w:next w:val="TableGrid"/>
    <w:uiPriority w:val="59"/>
    <w:rsid w:val="002563D0"/>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681039">
      <w:bodyDiv w:val="1"/>
      <w:marLeft w:val="0"/>
      <w:marRight w:val="0"/>
      <w:marTop w:val="0"/>
      <w:marBottom w:val="0"/>
      <w:divBdr>
        <w:top w:val="none" w:sz="0" w:space="0" w:color="auto"/>
        <w:left w:val="none" w:sz="0" w:space="0" w:color="auto"/>
        <w:bottom w:val="none" w:sz="0" w:space="0" w:color="auto"/>
        <w:right w:val="none" w:sz="0" w:space="0" w:color="auto"/>
      </w:divBdr>
    </w:div>
    <w:div w:id="306978017">
      <w:bodyDiv w:val="1"/>
      <w:marLeft w:val="0"/>
      <w:marRight w:val="0"/>
      <w:marTop w:val="0"/>
      <w:marBottom w:val="0"/>
      <w:divBdr>
        <w:top w:val="none" w:sz="0" w:space="0" w:color="auto"/>
        <w:left w:val="none" w:sz="0" w:space="0" w:color="auto"/>
        <w:bottom w:val="none" w:sz="0" w:space="0" w:color="auto"/>
        <w:right w:val="none" w:sz="0" w:space="0" w:color="auto"/>
      </w:divBdr>
    </w:div>
    <w:div w:id="975140111">
      <w:bodyDiv w:val="1"/>
      <w:marLeft w:val="0"/>
      <w:marRight w:val="0"/>
      <w:marTop w:val="0"/>
      <w:marBottom w:val="0"/>
      <w:divBdr>
        <w:top w:val="none" w:sz="0" w:space="0" w:color="auto"/>
        <w:left w:val="none" w:sz="0" w:space="0" w:color="auto"/>
        <w:bottom w:val="none" w:sz="0" w:space="0" w:color="auto"/>
        <w:right w:val="none" w:sz="0" w:space="0" w:color="auto"/>
      </w:divBdr>
    </w:div>
    <w:div w:id="1004238553">
      <w:bodyDiv w:val="1"/>
      <w:marLeft w:val="0"/>
      <w:marRight w:val="0"/>
      <w:marTop w:val="0"/>
      <w:marBottom w:val="0"/>
      <w:divBdr>
        <w:top w:val="none" w:sz="0" w:space="0" w:color="auto"/>
        <w:left w:val="none" w:sz="0" w:space="0" w:color="auto"/>
        <w:bottom w:val="none" w:sz="0" w:space="0" w:color="auto"/>
        <w:right w:val="none" w:sz="0" w:space="0" w:color="auto"/>
      </w:divBdr>
    </w:div>
    <w:div w:id="1165821082">
      <w:bodyDiv w:val="1"/>
      <w:marLeft w:val="0"/>
      <w:marRight w:val="0"/>
      <w:marTop w:val="0"/>
      <w:marBottom w:val="0"/>
      <w:divBdr>
        <w:top w:val="none" w:sz="0" w:space="0" w:color="auto"/>
        <w:left w:val="none" w:sz="0" w:space="0" w:color="auto"/>
        <w:bottom w:val="none" w:sz="0" w:space="0" w:color="auto"/>
        <w:right w:val="none" w:sz="0" w:space="0" w:color="auto"/>
      </w:divBdr>
    </w:div>
    <w:div w:id="1399019215">
      <w:bodyDiv w:val="1"/>
      <w:marLeft w:val="0"/>
      <w:marRight w:val="0"/>
      <w:marTop w:val="0"/>
      <w:marBottom w:val="0"/>
      <w:divBdr>
        <w:top w:val="none" w:sz="0" w:space="0" w:color="auto"/>
        <w:left w:val="none" w:sz="0" w:space="0" w:color="auto"/>
        <w:bottom w:val="none" w:sz="0" w:space="0" w:color="auto"/>
        <w:right w:val="none" w:sz="0" w:space="0" w:color="auto"/>
      </w:divBdr>
    </w:div>
    <w:div w:id="1526596316">
      <w:bodyDiv w:val="1"/>
      <w:marLeft w:val="0"/>
      <w:marRight w:val="0"/>
      <w:marTop w:val="0"/>
      <w:marBottom w:val="0"/>
      <w:divBdr>
        <w:top w:val="none" w:sz="0" w:space="0" w:color="auto"/>
        <w:left w:val="none" w:sz="0" w:space="0" w:color="auto"/>
        <w:bottom w:val="none" w:sz="0" w:space="0" w:color="auto"/>
        <w:right w:val="none" w:sz="0" w:space="0" w:color="auto"/>
      </w:divBdr>
    </w:div>
    <w:div w:id="188648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header" Target="header8.xml"/><Relationship Id="rId10" Type="http://schemas.openxmlformats.org/officeDocument/2006/relationships/image" Target="media/image3.png"/><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A179F-3BCA-4071-A0FC-517C45DC9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2927</Words>
  <Characters>16685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BRS</Company>
  <LinksUpToDate>false</LinksUpToDate>
  <CharactersWithSpaces>19573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Lechner</dc:creator>
  <cp:lastModifiedBy>Ariel Dayao</cp:lastModifiedBy>
  <cp:revision>5</cp:revision>
  <cp:lastPrinted>2015-04-14T14:00:00Z</cp:lastPrinted>
  <dcterms:created xsi:type="dcterms:W3CDTF">2015-04-21T09:06:00Z</dcterms:created>
  <dcterms:modified xsi:type="dcterms:W3CDTF">2015-04-22T12:21:00Z</dcterms:modified>
</cp:coreProperties>
</file>