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18" w:rsidRPr="004040AF" w:rsidRDefault="00517518" w:rsidP="00517518">
      <w:pPr>
        <w:spacing w:after="120" w:line="400" w:lineRule="exact"/>
        <w:ind w:left="1440"/>
        <w:jc w:val="both"/>
        <w:rPr>
          <w:rFonts w:cs="Traditional Arabic"/>
          <w:b/>
          <w:bCs/>
          <w:sz w:val="33"/>
          <w:szCs w:val="33"/>
          <w:rtl/>
        </w:rPr>
      </w:pPr>
      <w:r w:rsidRPr="004040AF">
        <w:rPr>
          <w:rFonts w:cs="Traditional Arabic"/>
          <w:b/>
          <w:bCs/>
          <w:sz w:val="33"/>
          <w:szCs w:val="33"/>
          <w:rtl/>
        </w:rPr>
        <w:t>المقرر ا س - 5/23: توجيهات إضافية للآلية المالية</w:t>
      </w:r>
    </w:p>
    <w:p w:rsidR="00517518" w:rsidRPr="00112FDB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i/>
          <w:iCs/>
          <w:sz w:val="20"/>
          <w:szCs w:val="30"/>
          <w:rtl/>
        </w:rPr>
      </w:pPr>
      <w:r w:rsidRPr="00112FDB">
        <w:rPr>
          <w:rFonts w:cs="Traditional Arabic"/>
          <w:i/>
          <w:iCs/>
          <w:sz w:val="20"/>
          <w:szCs w:val="30"/>
          <w:rtl/>
        </w:rPr>
        <w:t xml:space="preserve">إن </w:t>
      </w:r>
      <w:r w:rsidRPr="00FD68ED">
        <w:rPr>
          <w:rFonts w:cs="Traditional Arabic"/>
          <w:i/>
          <w:iCs/>
          <w:sz w:val="30"/>
          <w:szCs w:val="30"/>
          <w:rtl/>
        </w:rPr>
        <w:t>مؤتمر</w:t>
      </w:r>
      <w:r w:rsidRPr="00112FDB">
        <w:rPr>
          <w:rFonts w:cs="Traditional Arabic"/>
          <w:i/>
          <w:iCs/>
          <w:sz w:val="20"/>
          <w:szCs w:val="30"/>
          <w:rtl/>
        </w:rPr>
        <w:t xml:space="preserve"> الأطراف</w:t>
      </w:r>
      <w:r>
        <w:rPr>
          <w:rFonts w:cs="Traditional Arabic"/>
          <w:i/>
          <w:iCs/>
          <w:sz w:val="20"/>
          <w:szCs w:val="30"/>
          <w:rtl/>
        </w:rPr>
        <w:t>،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30"/>
          <w:szCs w:val="30"/>
          <w:rtl/>
        </w:rPr>
      </w:pPr>
      <w:r w:rsidRPr="00035AE7">
        <w:rPr>
          <w:rFonts w:cs="Traditional Arabic"/>
          <w:sz w:val="30"/>
          <w:szCs w:val="30"/>
          <w:rtl/>
        </w:rPr>
        <w:t>1</w:t>
      </w:r>
      <w:r>
        <w:rPr>
          <w:rFonts w:cs="Traditional Arabic"/>
          <w:sz w:val="30"/>
          <w:szCs w:val="30"/>
          <w:rtl/>
        </w:rPr>
        <w:t xml:space="preserve"> </w:t>
      </w:r>
      <w:r w:rsidRPr="00035AE7">
        <w:rPr>
          <w:rFonts w:cs="Traditional Arabic"/>
          <w:sz w:val="30"/>
          <w:szCs w:val="30"/>
          <w:rtl/>
        </w:rPr>
        <w:t>-</w:t>
      </w:r>
      <w:r w:rsidRPr="00035AE7">
        <w:rPr>
          <w:rFonts w:cs="Traditional Arabic"/>
          <w:sz w:val="30"/>
          <w:szCs w:val="30"/>
          <w:rtl/>
        </w:rPr>
        <w:tab/>
      </w:r>
      <w:r w:rsidRPr="007D31FF">
        <w:rPr>
          <w:rFonts w:cs="Traditional Arabic"/>
          <w:i/>
          <w:iCs/>
          <w:sz w:val="30"/>
          <w:szCs w:val="30"/>
          <w:rtl/>
        </w:rPr>
        <w:t>يطلب</w:t>
      </w:r>
      <w:r>
        <w:rPr>
          <w:rFonts w:cs="Traditional Arabic"/>
          <w:sz w:val="30"/>
          <w:szCs w:val="30"/>
          <w:rtl/>
        </w:rPr>
        <w:t xml:space="preserve"> إلى الأمانة أن تعد توجيهات موحدة للآلية المالية لكي ينظر فيها مؤتمر الأطراف في اتفاقية استكهولم بشأن الملوثات العضوية الثابتة في اجتماعه السادس؛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30"/>
          <w:szCs w:val="30"/>
          <w:rtl/>
        </w:rPr>
        <w:t>2 -</w:t>
      </w:r>
      <w:r>
        <w:rPr>
          <w:rFonts w:cs="Traditional Arabic"/>
          <w:sz w:val="30"/>
          <w:szCs w:val="30"/>
          <w:rtl/>
        </w:rPr>
        <w:tab/>
      </w:r>
      <w:r w:rsidRPr="007D31FF">
        <w:rPr>
          <w:rFonts w:cs="Traditional Arabic"/>
          <w:i/>
          <w:iCs/>
          <w:sz w:val="30"/>
          <w:szCs w:val="30"/>
          <w:rtl/>
        </w:rPr>
        <w:t>يقرر</w:t>
      </w:r>
      <w:r>
        <w:rPr>
          <w:rFonts w:cs="Traditional Arabic"/>
          <w:sz w:val="30"/>
          <w:szCs w:val="30"/>
          <w:rtl/>
        </w:rPr>
        <w:t xml:space="preserve"> تحديث التوجيهات الموحدة كل أربع سنوات بدايةً من الاجتماع السادس لمؤتمر الأطراف كمدخلات من مؤتمر الأطراف في المفاوضات </w:t>
      </w:r>
      <w:r w:rsidRPr="00407B65">
        <w:rPr>
          <w:rFonts w:cs="Traditional Arabic"/>
          <w:sz w:val="20"/>
          <w:szCs w:val="30"/>
          <w:rtl/>
        </w:rPr>
        <w:t>بشأن تجديد موارد الصندوق الاستئماني لمرفق البيئة العالمية</w:t>
      </w:r>
      <w:r>
        <w:rPr>
          <w:rFonts w:cs="Traditional Arabic"/>
          <w:sz w:val="20"/>
          <w:szCs w:val="30"/>
          <w:rtl/>
        </w:rPr>
        <w:t>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3 -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يطلب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إلى</w:t>
      </w:r>
      <w:r w:rsidRPr="00407B65">
        <w:rPr>
          <w:rFonts w:cs="Traditional Arabic"/>
          <w:sz w:val="20"/>
          <w:szCs w:val="30"/>
          <w:rtl/>
        </w:rPr>
        <w:t xml:space="preserve"> الآلية المالية </w:t>
      </w:r>
      <w:r w:rsidRPr="003B0A9D">
        <w:rPr>
          <w:rFonts w:cs="Traditional Arabic"/>
          <w:sz w:val="30"/>
          <w:szCs w:val="30"/>
          <w:rtl/>
        </w:rPr>
        <w:t>للاتفاقية</w:t>
      </w:r>
      <w:r w:rsidRPr="00407B65">
        <w:rPr>
          <w:rFonts w:cs="Traditional Arabic"/>
          <w:sz w:val="20"/>
          <w:szCs w:val="30"/>
          <w:rtl/>
        </w:rPr>
        <w:t xml:space="preserve">، كما يدعو </w:t>
      </w:r>
      <w:r>
        <w:rPr>
          <w:rFonts w:cs="Traditional Arabic"/>
          <w:sz w:val="20"/>
          <w:szCs w:val="30"/>
          <w:rtl/>
        </w:rPr>
        <w:t>الأطراف والمراقبين و</w:t>
      </w:r>
      <w:r w:rsidRPr="00407B65">
        <w:rPr>
          <w:rFonts w:cs="Traditional Arabic"/>
          <w:sz w:val="20"/>
          <w:szCs w:val="30"/>
          <w:rtl/>
        </w:rPr>
        <w:t xml:space="preserve">المؤسسات المالية الأخرى </w:t>
      </w:r>
      <w:r>
        <w:rPr>
          <w:rFonts w:cs="Traditional Arabic"/>
          <w:sz w:val="20"/>
          <w:szCs w:val="30"/>
          <w:rtl/>
        </w:rPr>
        <w:t>القادرة على تقديم الدعم المالي لأنشطة التدريب وبناء القدرات ذات التوجه القطري التي لها علاقة بشبكة القضاء على المركبات الثنائية الفينيل المتعددة الكلور، إلى فعل ذلك؛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4 -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يطلب</w:t>
      </w:r>
      <w:r>
        <w:rPr>
          <w:rFonts w:cs="Traditional Arabic"/>
          <w:i/>
          <w:iCs/>
          <w:sz w:val="20"/>
          <w:szCs w:val="30"/>
          <w:rtl/>
        </w:rPr>
        <w:t xml:space="preserve"> أيضاً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إلى</w:t>
      </w:r>
      <w:r w:rsidRPr="00407B65">
        <w:rPr>
          <w:rFonts w:cs="Traditional Arabic"/>
          <w:sz w:val="20"/>
          <w:szCs w:val="30"/>
          <w:rtl/>
        </w:rPr>
        <w:t xml:space="preserve"> الآلية المالية للاتفاقية دعم الأنشطة المتصلة بالمواد الكيميائية المدرجة حديثا</w:t>
      </w:r>
      <w:r>
        <w:rPr>
          <w:rFonts w:cs="Traditional Arabic"/>
          <w:sz w:val="20"/>
          <w:szCs w:val="30"/>
          <w:rtl/>
        </w:rPr>
        <w:t>ً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ويدعو</w:t>
      </w:r>
      <w:r w:rsidRPr="00407B65">
        <w:rPr>
          <w:rFonts w:cs="Traditional Arabic"/>
          <w:sz w:val="20"/>
          <w:szCs w:val="30"/>
          <w:rtl/>
        </w:rPr>
        <w:t xml:space="preserve"> المؤسسات المالية الدولية الأخرى إلى فعِل ذلك</w:t>
      </w:r>
      <w:r>
        <w:rPr>
          <w:rFonts w:cs="Traditional Arabic"/>
          <w:sz w:val="20"/>
          <w:szCs w:val="30"/>
          <w:rtl/>
        </w:rPr>
        <w:t>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5 -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يسلم</w:t>
      </w:r>
      <w:r>
        <w:rPr>
          <w:rFonts w:cs="Traditional Arabic"/>
          <w:sz w:val="20"/>
          <w:szCs w:val="30"/>
          <w:rtl/>
        </w:rPr>
        <w:t xml:space="preserve"> بأن الدعم المالي والتقني مطلوب لتيسير استبدال استخدام الإندوسلفان في البلدان النامية؛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6 -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يطلب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إلى</w:t>
      </w:r>
      <w:r w:rsidRPr="00407B65">
        <w:rPr>
          <w:rFonts w:cs="Traditional Arabic"/>
          <w:sz w:val="20"/>
          <w:szCs w:val="30"/>
          <w:rtl/>
        </w:rPr>
        <w:t xml:space="preserve"> الآلية المالية للاتفاقية تقديم التمويل إلى الأطراف لتمكينها من تنفيذ أفضل التقنيات المتاحة وأفضل الممارسات البيئية لدعم خفض الإطلاقات غير المقصودة من الملوثات العضوية الثابتة أو القضاء عليها</w:t>
      </w:r>
      <w:r>
        <w:rPr>
          <w:rFonts w:cs="Traditional Arabic"/>
          <w:sz w:val="20"/>
          <w:szCs w:val="30"/>
          <w:rtl/>
        </w:rPr>
        <w:t>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7 -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يطلب</w:t>
      </w:r>
      <w:r>
        <w:rPr>
          <w:rFonts w:cs="Traditional Arabic"/>
          <w:i/>
          <w:iCs/>
          <w:sz w:val="20"/>
          <w:szCs w:val="30"/>
          <w:rtl/>
        </w:rPr>
        <w:t xml:space="preserve"> أيضاً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إلى</w:t>
      </w:r>
      <w:r w:rsidRPr="00407B65">
        <w:rPr>
          <w:rFonts w:cs="Traditional Arabic"/>
          <w:sz w:val="20"/>
          <w:szCs w:val="30"/>
          <w:rtl/>
        </w:rPr>
        <w:t xml:space="preserve"> الآلية المالية </w:t>
      </w:r>
      <w:r>
        <w:rPr>
          <w:rFonts w:cs="Traditional Arabic"/>
          <w:sz w:val="20"/>
          <w:szCs w:val="30"/>
          <w:rtl/>
        </w:rPr>
        <w:t>للاتفاقية و</w:t>
      </w:r>
      <w:r w:rsidRPr="00407B65">
        <w:rPr>
          <w:rFonts w:cs="Traditional Arabic"/>
          <w:sz w:val="20"/>
          <w:szCs w:val="30"/>
          <w:rtl/>
        </w:rPr>
        <w:t xml:space="preserve">الأطراف والمراقبين </w:t>
      </w:r>
      <w:r>
        <w:rPr>
          <w:rFonts w:cs="Traditional Arabic"/>
          <w:sz w:val="20"/>
          <w:szCs w:val="30"/>
          <w:rtl/>
        </w:rPr>
        <w:t xml:space="preserve">والمؤسسات </w:t>
      </w:r>
      <w:r w:rsidRPr="00407B65">
        <w:rPr>
          <w:rFonts w:cs="Traditional Arabic"/>
          <w:sz w:val="20"/>
          <w:szCs w:val="30"/>
          <w:rtl/>
        </w:rPr>
        <w:t xml:space="preserve">المالية الأخرى القادرة على تقديم الدعم المالي لتمكين المراكز الإقليمية من تنفيذ </w:t>
      </w:r>
      <w:r>
        <w:rPr>
          <w:rFonts w:cs="Traditional Arabic"/>
          <w:sz w:val="20"/>
          <w:szCs w:val="30"/>
          <w:rtl/>
        </w:rPr>
        <w:t>خطط العمل الخاصة بها؛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8 -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يطلب</w:t>
      </w:r>
      <w:r>
        <w:rPr>
          <w:rFonts w:cs="Traditional Arabic"/>
          <w:i/>
          <w:iCs/>
          <w:sz w:val="20"/>
          <w:szCs w:val="30"/>
          <w:rtl/>
        </w:rPr>
        <w:t xml:space="preserve"> كذلك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إلى</w:t>
      </w:r>
      <w:r w:rsidRPr="00407B65">
        <w:rPr>
          <w:rFonts w:cs="Traditional Arabic"/>
          <w:sz w:val="20"/>
          <w:szCs w:val="30"/>
          <w:rtl/>
        </w:rPr>
        <w:t xml:space="preserve"> الآلية المالية للاتفاقية، كما يدعو المانحين الآخرين إلى تقديم دعم مالي للسماح بإجراء تحسين متدرج في القدرات، بما في ذلك عن طريق شراكات استراتيجية،</w:t>
      </w:r>
      <w:r>
        <w:rPr>
          <w:rFonts w:cs="Traditional Arabic"/>
          <w:sz w:val="20"/>
          <w:szCs w:val="30"/>
          <w:rtl/>
        </w:rPr>
        <w:t xml:space="preserve"> وذلك للتمكين</w:t>
      </w:r>
      <w:r w:rsidRPr="00407B65">
        <w:rPr>
          <w:rFonts w:cs="Traditional Arabic"/>
          <w:sz w:val="20"/>
          <w:szCs w:val="30"/>
          <w:rtl/>
        </w:rPr>
        <w:t xml:space="preserve"> من جمع البيانات بشأن جميع المؤشرات المنصوص عليها في إطار تقييم الفعالية الوارد في</w:t>
      </w:r>
      <w:r>
        <w:rPr>
          <w:rFonts w:cs="Traditional Arabic"/>
          <w:sz w:val="20"/>
          <w:szCs w:val="30"/>
          <w:rtl/>
        </w:rPr>
        <w:t xml:space="preserve"> مرفق مذكرة الأمانة</w:t>
      </w:r>
      <w:r w:rsidRPr="00407B65">
        <w:rPr>
          <w:rFonts w:cs="Traditional Arabic"/>
          <w:sz w:val="20"/>
          <w:szCs w:val="30"/>
          <w:rtl/>
        </w:rPr>
        <w:t xml:space="preserve"> بشأن تقييم الفعالية</w:t>
      </w:r>
      <w:r>
        <w:rPr>
          <w:rFonts w:cs="Traditional Arabic"/>
          <w:sz w:val="20"/>
          <w:szCs w:val="30"/>
          <w:rtl/>
        </w:rPr>
        <w:t>؛</w:t>
      </w:r>
      <w:r>
        <w:rPr>
          <w:rFonts w:cs="Traditional Arabic"/>
          <w:sz w:val="20"/>
          <w:szCs w:val="30"/>
          <w:vertAlign w:val="superscript"/>
          <w:rtl/>
        </w:rPr>
        <w:t>(</w:t>
      </w:r>
      <w:r>
        <w:rPr>
          <w:rStyle w:val="FootnoteReference"/>
          <w:rFonts w:cs="Traditional Arabic"/>
          <w:sz w:val="20"/>
          <w:szCs w:val="30"/>
          <w:rtl/>
        </w:rPr>
        <w:footnoteReference w:id="1"/>
      </w:r>
      <w:r>
        <w:rPr>
          <w:rFonts w:cs="Traditional Arabic"/>
          <w:sz w:val="20"/>
          <w:szCs w:val="30"/>
          <w:vertAlign w:val="superscript"/>
          <w:rtl/>
        </w:rPr>
        <w:t>)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9 -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يطلب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إلى</w:t>
      </w:r>
      <w:r w:rsidRPr="00407B65">
        <w:rPr>
          <w:rFonts w:cs="Traditional Arabic"/>
          <w:sz w:val="20"/>
          <w:szCs w:val="30"/>
          <w:rtl/>
        </w:rPr>
        <w:t xml:space="preserve"> الآلية المالية للاتفاقية، كما يدعو المانحين الآخرين إلى تقديم دعم مالي للسماح بالتحسين المتدرج للقدرات، بما في ذلك عن طريق شراكا</w:t>
      </w:r>
      <w:r>
        <w:rPr>
          <w:rFonts w:cs="Traditional Arabic"/>
          <w:sz w:val="20"/>
          <w:szCs w:val="30"/>
          <w:rtl/>
        </w:rPr>
        <w:t>ت استراتيجية، للإبقاء على مبادرا</w:t>
      </w:r>
      <w:r w:rsidRPr="00407B65">
        <w:rPr>
          <w:rFonts w:cs="Traditional Arabic"/>
          <w:sz w:val="20"/>
          <w:szCs w:val="30"/>
          <w:rtl/>
        </w:rPr>
        <w:t>ت الرصد الجديدة، التي وفرت البيانات لتقرير الرصد الأول</w:t>
      </w:r>
      <w:r>
        <w:rPr>
          <w:rFonts w:cs="Traditional Arabic"/>
          <w:sz w:val="20"/>
          <w:szCs w:val="30"/>
          <w:rtl/>
        </w:rPr>
        <w:t>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10 -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يطلب</w:t>
      </w:r>
      <w:r>
        <w:rPr>
          <w:rFonts w:cs="Traditional Arabic"/>
          <w:i/>
          <w:iCs/>
          <w:sz w:val="20"/>
          <w:szCs w:val="30"/>
          <w:rtl/>
        </w:rPr>
        <w:t xml:space="preserve"> أيضاً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إلى</w:t>
      </w:r>
      <w:r w:rsidRPr="00407B65">
        <w:rPr>
          <w:rFonts w:cs="Traditional Arabic"/>
          <w:sz w:val="20"/>
          <w:szCs w:val="30"/>
          <w:rtl/>
        </w:rPr>
        <w:t xml:space="preserve"> الآلية المالية للاتفاقية،</w:t>
      </w:r>
      <w:r>
        <w:rPr>
          <w:rFonts w:cs="Traditional Arabic"/>
          <w:sz w:val="20"/>
          <w:szCs w:val="30"/>
          <w:rtl/>
        </w:rPr>
        <w:t xml:space="preserve"> عند تقديمها للدعم المالي، أن تعطي الأولوية للبلدان التي لم تتسلم بعد تمويلاً لتنفيذ الأنشطة المضمنة في خطط التنفيذ الوطنية الخاصة بها؛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lastRenderedPageBreak/>
        <w:t>11 -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يشجع</w:t>
      </w:r>
      <w:r>
        <w:rPr>
          <w:rFonts w:cs="Traditional Arabic"/>
          <w:sz w:val="20"/>
          <w:szCs w:val="30"/>
          <w:rtl/>
        </w:rPr>
        <w:t xml:space="preserve"> مرفق البيئة العالمية والأطراف القادرة على تقديم الأموال اللازمة لتيسير تقديم المساعدة التقنية ونقل التكنولوجيا لتوفيرها للبلدان النامية الأطراف والأطراف التي تمر اقتصاداتها بمرحلة انتقال، على أن تفعل ذلك؛</w:t>
      </w:r>
    </w:p>
    <w:p w:rsidR="00517518" w:rsidRDefault="00517518" w:rsidP="00517518">
      <w:pPr>
        <w:spacing w:after="120" w:line="400" w:lineRule="exact"/>
        <w:ind w:left="1440" w:firstLine="720"/>
        <w:jc w:val="both"/>
        <w:rPr>
          <w:rFonts w:cs="Traditional Arabic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t>12 -</w:t>
      </w:r>
      <w:r>
        <w:rPr>
          <w:rFonts w:cs="Traditional Arabic"/>
          <w:sz w:val="20"/>
          <w:szCs w:val="30"/>
          <w:rtl/>
        </w:rPr>
        <w:tab/>
      </w:r>
      <w:r w:rsidRPr="007D31FF">
        <w:rPr>
          <w:rFonts w:cs="Traditional Arabic"/>
          <w:i/>
          <w:iCs/>
          <w:sz w:val="20"/>
          <w:szCs w:val="30"/>
          <w:rtl/>
        </w:rPr>
        <w:t>يطلب</w:t>
      </w:r>
      <w:r w:rsidRPr="00407B65">
        <w:rPr>
          <w:rFonts w:cs="Traditional Arabic"/>
          <w:sz w:val="20"/>
          <w:szCs w:val="30"/>
          <w:rtl/>
        </w:rPr>
        <w:t xml:space="preserve"> </w:t>
      </w:r>
      <w:r>
        <w:rPr>
          <w:rFonts w:cs="Traditional Arabic"/>
          <w:sz w:val="20"/>
          <w:szCs w:val="30"/>
          <w:rtl/>
        </w:rPr>
        <w:t>إلى</w:t>
      </w:r>
      <w:r w:rsidRPr="00407B65">
        <w:rPr>
          <w:rFonts w:cs="Traditional Arabic"/>
          <w:sz w:val="20"/>
          <w:szCs w:val="30"/>
          <w:rtl/>
        </w:rPr>
        <w:t xml:space="preserve"> الآلية المالية للاتفاقية،</w:t>
      </w:r>
      <w:r>
        <w:rPr>
          <w:rFonts w:cs="Traditional Arabic"/>
          <w:sz w:val="20"/>
          <w:szCs w:val="30"/>
          <w:rtl/>
        </w:rPr>
        <w:t xml:space="preserve"> كما يدعو الأطراف والمراقبين والمؤسسات المالية الأخرى القادرة على تقديم الدعم المالي لتطوير ونشر منتجات وأساليب واستراتيجيات كبدائل للـ دي. دي. تي، إلى فعل ذلك.</w:t>
      </w:r>
    </w:p>
    <w:p w:rsidR="000B18ED" w:rsidRDefault="000B18ED"/>
    <w:sectPr w:rsidR="000B18ED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A0" w:rsidRDefault="002072A0" w:rsidP="00517518">
      <w:r>
        <w:separator/>
      </w:r>
    </w:p>
  </w:endnote>
  <w:endnote w:type="continuationSeparator" w:id="0">
    <w:p w:rsidR="002072A0" w:rsidRDefault="002072A0" w:rsidP="0051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A0" w:rsidRDefault="002072A0" w:rsidP="00517518">
      <w:r>
        <w:separator/>
      </w:r>
    </w:p>
  </w:footnote>
  <w:footnote w:type="continuationSeparator" w:id="0">
    <w:p w:rsidR="002072A0" w:rsidRDefault="002072A0" w:rsidP="00517518">
      <w:r>
        <w:continuationSeparator/>
      </w:r>
    </w:p>
  </w:footnote>
  <w:footnote w:id="1">
    <w:p w:rsidR="00517518" w:rsidRPr="00F654AF" w:rsidRDefault="00517518" w:rsidP="00517518">
      <w:pPr>
        <w:pStyle w:val="FootnoteText"/>
        <w:spacing w:after="40" w:line="320" w:lineRule="exact"/>
        <w:ind w:left="1440"/>
        <w:jc w:val="both"/>
      </w:pPr>
      <w:r w:rsidRPr="00F654AF">
        <w:rPr>
          <w:rFonts w:ascii="Courier New" w:hAnsi="Courier New" w:cs="Traditional Arabic"/>
          <w:color w:val="000000"/>
          <w:sz w:val="26"/>
          <w:szCs w:val="26"/>
          <w:rtl/>
        </w:rPr>
        <w:t>(</w:t>
      </w:r>
      <w:r w:rsidRPr="00F654AF">
        <w:rPr>
          <w:rStyle w:val="FootnoteReference"/>
          <w:rFonts w:ascii="Courier New" w:hAnsi="Courier New" w:cs="Traditional Arabic"/>
          <w:color w:val="000000"/>
          <w:sz w:val="26"/>
          <w:szCs w:val="26"/>
          <w:rtl/>
        </w:rPr>
        <w:footnoteRef/>
      </w:r>
      <w:r w:rsidRPr="00F654AF">
        <w:rPr>
          <w:rFonts w:ascii="Courier New" w:hAnsi="Courier New" w:cs="Traditional Arabic"/>
          <w:color w:val="000000"/>
          <w:sz w:val="26"/>
          <w:szCs w:val="26"/>
          <w:rtl/>
        </w:rPr>
        <w:t>)</w:t>
      </w:r>
      <w:r>
        <w:rPr>
          <w:rFonts w:ascii="Courier New" w:hAnsi="Courier New" w:cs="Traditional Arabic" w:hint="cs"/>
          <w:color w:val="000000"/>
          <w:sz w:val="26"/>
          <w:szCs w:val="26"/>
          <w:rtl/>
        </w:rPr>
        <w:tab/>
      </w:r>
      <w:r w:rsidRPr="00F654AF">
        <w:rPr>
          <w:rFonts w:cs="Times New Roman"/>
          <w:color w:val="000000"/>
          <w:sz w:val="18"/>
          <w:szCs w:val="18"/>
        </w:rPr>
        <w:t>UNEP/POPS/COP.5/31</w:t>
      </w:r>
      <w:r w:rsidRPr="00F654AF">
        <w:rPr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518"/>
    <w:rsid w:val="000B18ED"/>
    <w:rsid w:val="002072A0"/>
    <w:rsid w:val="00517518"/>
    <w:rsid w:val="007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18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DNV-FT,Geneva 9,Font: Geneva 9,Boston 10,f,-E Fußnotentext,ft,Fußnote,Fußnotentext Ursprung,fn,footnote text,Footnotes,Footnote ak,fn cafc,Footnotes Char Char,Footnote Text Char Char,fn Char Char,footnote text Char Char Char Ch,Car"/>
    <w:basedOn w:val="Normal"/>
    <w:link w:val="FootnoteTextChar1"/>
    <w:semiHidden/>
    <w:rsid w:val="005175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518"/>
    <w:rPr>
      <w:rFonts w:ascii="Times New Roman" w:eastAsia="Times New Roman" w:hAnsi="Times New Roman" w:cs="Simplified Arabic"/>
      <w:sz w:val="20"/>
      <w:szCs w:val="20"/>
      <w:lang w:val="en-US" w:eastAsia="en-US"/>
    </w:rPr>
  </w:style>
  <w:style w:type="character" w:styleId="FootnoteReference">
    <w:name w:val="footnote reference"/>
    <w:aliases w:val="ftref,16 Point,Superscript 6 Point"/>
    <w:basedOn w:val="DefaultParagraphFont"/>
    <w:semiHidden/>
    <w:rsid w:val="00517518"/>
    <w:rPr>
      <w:vertAlign w:val="superscript"/>
    </w:rPr>
  </w:style>
  <w:style w:type="character" w:customStyle="1" w:styleId="FootnoteTextChar1">
    <w:name w:val="Footnote Text Char1"/>
    <w:aliases w:val="DNV-FT Char1,Geneva 9 Char1,Font: Geneva 9 Char1,Boston 10 Char1,f Char1,-E Fußnotentext Char1,ft Char1,Fußnote Char1,Fußnotentext Ursprung Char1,fn Char1,footnote text Char1,Footnotes Char1,Footnote ak Char1,fn cafc Char1,Car Char"/>
    <w:link w:val="FootnoteText"/>
    <w:semiHidden/>
    <w:locked/>
    <w:rsid w:val="00517518"/>
    <w:rPr>
      <w:rFonts w:ascii="Times New Roman" w:eastAsia="Times New Roman" w:hAnsi="Times New Roman" w:cs="Simplified Arabic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2014-10-27T13:54:00Z</dcterms:created>
  <dcterms:modified xsi:type="dcterms:W3CDTF">2014-10-27T13:54:00Z</dcterms:modified>
</cp:coreProperties>
</file>