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03" w:rsidRPr="0093498A" w:rsidRDefault="00E50D03" w:rsidP="00E50D03">
      <w:pPr>
        <w:spacing w:before="120" w:after="120" w:line="400" w:lineRule="exact"/>
        <w:ind w:left="1440"/>
        <w:jc w:val="both"/>
        <w:rPr>
          <w:rFonts w:cs="Traditional Arabic"/>
          <w:b/>
          <w:bCs/>
          <w:sz w:val="33"/>
          <w:szCs w:val="33"/>
          <w:rtl/>
        </w:rPr>
      </w:pPr>
      <w:r w:rsidRPr="0093498A">
        <w:rPr>
          <w:rFonts w:cs="Traditional Arabic"/>
          <w:b/>
          <w:bCs/>
          <w:sz w:val="33"/>
          <w:szCs w:val="33"/>
          <w:rtl/>
        </w:rPr>
        <w:t xml:space="preserve">المقرر ا س </w:t>
      </w:r>
      <w:r>
        <w:rPr>
          <w:rFonts w:cs="Traditional Arabic"/>
          <w:b/>
          <w:bCs/>
          <w:sz w:val="33"/>
          <w:szCs w:val="33"/>
          <w:rtl/>
        </w:rPr>
        <w:t>-</w:t>
      </w:r>
      <w:r w:rsidRPr="0093498A">
        <w:rPr>
          <w:rFonts w:cs="Traditional Arabic"/>
          <w:b/>
          <w:bCs/>
          <w:sz w:val="33"/>
          <w:szCs w:val="33"/>
          <w:rtl/>
        </w:rPr>
        <w:t xml:space="preserve"> 5</w:t>
      </w:r>
      <w:r>
        <w:rPr>
          <w:rFonts w:cs="Traditional Arabic"/>
          <w:b/>
          <w:bCs/>
          <w:sz w:val="33"/>
          <w:szCs w:val="33"/>
          <w:rtl/>
        </w:rPr>
        <w:t>/10</w:t>
      </w:r>
      <w:r>
        <w:rPr>
          <w:rFonts w:cs="Traditional Arabic"/>
          <w:b/>
          <w:bCs/>
          <w:sz w:val="33"/>
          <w:szCs w:val="33"/>
        </w:rPr>
        <w:t>:</w:t>
      </w:r>
      <w:r w:rsidRPr="0093498A">
        <w:rPr>
          <w:rFonts w:cs="Traditional Arabic"/>
          <w:b/>
          <w:bCs/>
          <w:sz w:val="33"/>
          <w:szCs w:val="33"/>
          <w:rtl/>
        </w:rPr>
        <w:t xml:space="preserve"> تقييم استمرار الحاجة للإجراء الوارد تحت أحكام الفقرة 2 (ب) من المادة 3</w:t>
      </w:r>
    </w:p>
    <w:p w:rsidR="00E50D03" w:rsidRPr="00D44375" w:rsidRDefault="00E50D03" w:rsidP="00E50D03">
      <w:pPr>
        <w:spacing w:after="120" w:line="400" w:lineRule="exact"/>
        <w:ind w:left="1440" w:firstLine="720"/>
        <w:jc w:val="both"/>
        <w:rPr>
          <w:rFonts w:cs="Traditional Arabic"/>
          <w:i/>
          <w:iCs/>
          <w:sz w:val="20"/>
          <w:szCs w:val="30"/>
          <w:rtl/>
        </w:rPr>
      </w:pPr>
      <w:r w:rsidRPr="00D44375">
        <w:rPr>
          <w:rFonts w:cs="Traditional Arabic"/>
          <w:i/>
          <w:iCs/>
          <w:sz w:val="20"/>
          <w:szCs w:val="30"/>
          <w:rtl/>
        </w:rPr>
        <w:t>إن مؤتمر الأطراف</w:t>
      </w:r>
      <w:r>
        <w:rPr>
          <w:rFonts w:cs="Traditional Arabic"/>
          <w:i/>
          <w:iCs/>
          <w:sz w:val="20"/>
          <w:szCs w:val="30"/>
          <w:rtl/>
        </w:rPr>
        <w:t>،</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1 -</w:t>
      </w:r>
      <w:r>
        <w:rPr>
          <w:rFonts w:cs="Traditional Arabic"/>
          <w:sz w:val="30"/>
          <w:szCs w:val="30"/>
          <w:rtl/>
        </w:rPr>
        <w:tab/>
      </w:r>
      <w:r w:rsidRPr="00423F88">
        <w:rPr>
          <w:rFonts w:cs="Traditional Arabic"/>
          <w:i/>
          <w:iCs/>
          <w:sz w:val="30"/>
          <w:szCs w:val="30"/>
          <w:rtl/>
        </w:rPr>
        <w:t>يحيط علماً</w:t>
      </w:r>
      <w:r>
        <w:rPr>
          <w:rFonts w:cs="Traditional Arabic"/>
          <w:sz w:val="30"/>
          <w:szCs w:val="30"/>
          <w:rtl/>
        </w:rPr>
        <w:t xml:space="preserve"> بالتقرير الذي أعدته الأمانة عن المعلومات التي يتعين أخذها في الاعتبار عند تقييم استمرار الحاجة إلى الإجراء الوارد تحت أحكام الفقرة 2 (ب) من المادة 3 من اتفاقية استكهولم بشأن الملوثات العضوية الثابتة؛</w:t>
      </w:r>
      <w:r w:rsidRPr="00160D43">
        <w:rPr>
          <w:rFonts w:cs="Traditional Arabic"/>
          <w:sz w:val="30"/>
          <w:szCs w:val="30"/>
          <w:vertAlign w:val="superscript"/>
          <w:rtl/>
        </w:rPr>
        <w:t>(</w:t>
      </w:r>
      <w:r w:rsidRPr="00160D43">
        <w:rPr>
          <w:rStyle w:val="FootnoteReference"/>
          <w:rFonts w:cs="Traditional Arabic"/>
          <w:sz w:val="30"/>
          <w:szCs w:val="30"/>
          <w:rtl/>
        </w:rPr>
        <w:footnoteReference w:id="1"/>
      </w:r>
      <w:r w:rsidRPr="00160D43">
        <w:rPr>
          <w:rFonts w:cs="Traditional Arabic"/>
          <w:sz w:val="30"/>
          <w:szCs w:val="30"/>
          <w:vertAlign w:val="superscript"/>
          <w:rtl/>
        </w:rPr>
        <w:t>)</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2 -</w:t>
      </w:r>
      <w:r>
        <w:rPr>
          <w:rFonts w:cs="Traditional Arabic"/>
          <w:sz w:val="30"/>
          <w:szCs w:val="30"/>
          <w:rtl/>
        </w:rPr>
        <w:tab/>
      </w:r>
      <w:r w:rsidRPr="00423F88">
        <w:rPr>
          <w:rFonts w:cs="Traditional Arabic"/>
          <w:i/>
          <w:iCs/>
          <w:sz w:val="30"/>
          <w:szCs w:val="30"/>
          <w:rtl/>
        </w:rPr>
        <w:t>يخلص</w:t>
      </w:r>
      <w:r>
        <w:rPr>
          <w:rFonts w:cs="Traditional Arabic"/>
          <w:sz w:val="30"/>
          <w:szCs w:val="30"/>
          <w:rtl/>
        </w:rPr>
        <w:t xml:space="preserve"> </w:t>
      </w:r>
      <w:r w:rsidRPr="00423F88">
        <w:rPr>
          <w:rFonts w:cs="Traditional Arabic"/>
          <w:i/>
          <w:iCs/>
          <w:sz w:val="30"/>
          <w:szCs w:val="30"/>
          <w:rtl/>
        </w:rPr>
        <w:t>إلى</w:t>
      </w:r>
      <w:r>
        <w:rPr>
          <w:rFonts w:cs="Traditional Arabic"/>
          <w:sz w:val="30"/>
          <w:szCs w:val="30"/>
          <w:rtl/>
        </w:rPr>
        <w:t xml:space="preserve"> أن المعلومات المتاحة في الوقت الراهن بشأن الخبرة المكتسبة في استخدام الإجراء الوارد تحت أحكام الفقرة 2 (ب) من المادة 3 غير كافية كأساس لتقييم استمرار الحاجة إلى الإجراء؛</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3 -</w:t>
      </w:r>
      <w:r>
        <w:rPr>
          <w:rFonts w:cs="Traditional Arabic"/>
          <w:sz w:val="30"/>
          <w:szCs w:val="30"/>
          <w:rtl/>
        </w:rPr>
        <w:tab/>
      </w:r>
      <w:r w:rsidRPr="00423F88">
        <w:rPr>
          <w:rFonts w:cs="Traditional Arabic"/>
          <w:i/>
          <w:iCs/>
          <w:sz w:val="30"/>
          <w:szCs w:val="30"/>
          <w:rtl/>
        </w:rPr>
        <w:t>يحث</w:t>
      </w:r>
      <w:r>
        <w:rPr>
          <w:rFonts w:cs="Traditional Arabic"/>
          <w:sz w:val="30"/>
          <w:szCs w:val="30"/>
          <w:rtl/>
        </w:rPr>
        <w:t xml:space="preserve"> الأطراف على أن تدرج في تقاريرها المطلوبة بموجب المادة 15 من الاتفاقية معلومات عن وارداتها وصادراتها من المواد الكيميائية المدرجة في المرفقين ألف وباء للاتفاقية، إن وجدت، وأن توفر في خلال ذلك أكبر قدر ممكن من الناحية العملية من المعلومات بشأن وجهة صادرات المواد الكيميائية والأغراض التي استوردت هذه المواد الكيميائية من أجلها؛</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4 -</w:t>
      </w:r>
      <w:r>
        <w:rPr>
          <w:rFonts w:cs="Traditional Arabic"/>
          <w:sz w:val="30"/>
          <w:szCs w:val="30"/>
          <w:rtl/>
        </w:rPr>
        <w:tab/>
      </w:r>
      <w:r w:rsidRPr="00423F88">
        <w:rPr>
          <w:rFonts w:cs="Traditional Arabic"/>
          <w:i/>
          <w:iCs/>
          <w:sz w:val="30"/>
          <w:szCs w:val="30"/>
          <w:rtl/>
        </w:rPr>
        <w:t>يُذكِر</w:t>
      </w:r>
      <w:r>
        <w:rPr>
          <w:rFonts w:cs="Traditional Arabic"/>
          <w:sz w:val="30"/>
          <w:szCs w:val="30"/>
          <w:rtl/>
        </w:rPr>
        <w:t xml:space="preserve"> الأطراف بأنه يتعين عند تصدير مواد كيميائية مدرجة في المرفقين ألف أو باء بالاتفاقية إلى أي دولة ليست طرفاً في الاتفاقية، بأن الفقرة 2 (ب) ’3‘ من المادة 3 من الاتفاقية تطلب إليها أن تقدم إلى الأمانة شهادات سنوية من الدولة المستوردة؛</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5 -</w:t>
      </w:r>
      <w:r>
        <w:rPr>
          <w:rFonts w:cs="Traditional Arabic"/>
          <w:sz w:val="30"/>
          <w:szCs w:val="30"/>
          <w:rtl/>
        </w:rPr>
        <w:tab/>
      </w:r>
      <w:r w:rsidRPr="00423F88">
        <w:rPr>
          <w:rFonts w:cs="Traditional Arabic"/>
          <w:i/>
          <w:iCs/>
          <w:sz w:val="30"/>
          <w:szCs w:val="30"/>
          <w:rtl/>
        </w:rPr>
        <w:t>يطلب</w:t>
      </w:r>
      <w:r>
        <w:rPr>
          <w:rFonts w:cs="Traditional Arabic"/>
          <w:sz w:val="30"/>
          <w:szCs w:val="30"/>
          <w:rtl/>
        </w:rPr>
        <w:t xml:space="preserve"> </w:t>
      </w:r>
      <w:r w:rsidRPr="00423F88">
        <w:rPr>
          <w:rFonts w:cs="Traditional Arabic"/>
          <w:i/>
          <w:iCs/>
          <w:sz w:val="30"/>
          <w:szCs w:val="30"/>
          <w:rtl/>
        </w:rPr>
        <w:t>إلى</w:t>
      </w:r>
      <w:r>
        <w:rPr>
          <w:rFonts w:cs="Traditional Arabic"/>
          <w:sz w:val="30"/>
          <w:szCs w:val="30"/>
          <w:rtl/>
        </w:rPr>
        <w:t xml:space="preserve"> الأمانة أن تعد تقريراً آخر، يستند إلى التقارير المقدمة من الطرف بموجب المادة 15،</w:t>
      </w:r>
      <w:r w:rsidRPr="00BA4258">
        <w:rPr>
          <w:rFonts w:cs="Traditional Arabic"/>
          <w:sz w:val="30"/>
          <w:szCs w:val="30"/>
          <w:rtl/>
        </w:rPr>
        <w:t xml:space="preserve"> </w:t>
      </w:r>
      <w:r>
        <w:rPr>
          <w:rFonts w:cs="Traditional Arabic"/>
          <w:sz w:val="30"/>
          <w:szCs w:val="30"/>
          <w:rtl/>
        </w:rPr>
        <w:t>بشأن الشهادات الواردة من الأطراف المصدرة وفقاً للفقرة 2 (ب) ’3‘من المادة 3 وغيرها من المعلومات ذات الصلة، لكي ينظر فيها مؤتمر الأطراف في اجتماعه السادس؛</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6 -</w:t>
      </w:r>
      <w:r>
        <w:rPr>
          <w:rFonts w:cs="Traditional Arabic"/>
          <w:sz w:val="30"/>
          <w:szCs w:val="30"/>
          <w:rtl/>
        </w:rPr>
        <w:tab/>
      </w:r>
      <w:r w:rsidRPr="00423F88">
        <w:rPr>
          <w:rFonts w:cs="Traditional Arabic"/>
          <w:i/>
          <w:iCs/>
          <w:sz w:val="30"/>
          <w:szCs w:val="30"/>
          <w:rtl/>
        </w:rPr>
        <w:t>يطلب</w:t>
      </w:r>
      <w:r>
        <w:rPr>
          <w:rFonts w:cs="Traditional Arabic"/>
          <w:sz w:val="30"/>
          <w:szCs w:val="30"/>
          <w:rtl/>
        </w:rPr>
        <w:t xml:space="preserve"> </w:t>
      </w:r>
      <w:r w:rsidRPr="00423F88">
        <w:rPr>
          <w:rFonts w:cs="Traditional Arabic"/>
          <w:i/>
          <w:iCs/>
          <w:sz w:val="30"/>
          <w:szCs w:val="30"/>
          <w:rtl/>
        </w:rPr>
        <w:t>كذلك</w:t>
      </w:r>
      <w:r>
        <w:rPr>
          <w:rFonts w:cs="Traditional Arabic"/>
          <w:sz w:val="30"/>
          <w:szCs w:val="30"/>
          <w:rtl/>
        </w:rPr>
        <w:t xml:space="preserve"> إلى الأمانة أن تعد مشروع نموذج للشهادات عملاً بالفقرة 2 (ب) ’3‘ من المادة 3 لاستخدامه على نحو مؤقت ولكي ينظر فيه مؤتمر الأطراف في اجتماعه السادس؛</w:t>
      </w:r>
    </w:p>
    <w:p w:rsidR="00E50D03" w:rsidRDefault="00E50D03" w:rsidP="00E50D03">
      <w:pPr>
        <w:spacing w:after="120" w:line="400" w:lineRule="exact"/>
        <w:ind w:left="1440" w:firstLine="720"/>
        <w:jc w:val="both"/>
        <w:rPr>
          <w:rFonts w:cs="Traditional Arabic"/>
          <w:sz w:val="30"/>
          <w:szCs w:val="30"/>
          <w:rtl/>
        </w:rPr>
      </w:pPr>
      <w:r>
        <w:rPr>
          <w:rFonts w:cs="Traditional Arabic"/>
          <w:sz w:val="30"/>
          <w:szCs w:val="30"/>
          <w:rtl/>
        </w:rPr>
        <w:t>7 -</w:t>
      </w:r>
      <w:r>
        <w:rPr>
          <w:rFonts w:cs="Traditional Arabic"/>
          <w:sz w:val="30"/>
          <w:szCs w:val="30"/>
          <w:rtl/>
        </w:rPr>
        <w:tab/>
      </w:r>
      <w:r w:rsidRPr="00423F88">
        <w:rPr>
          <w:rFonts w:cs="Traditional Arabic"/>
          <w:i/>
          <w:iCs/>
          <w:sz w:val="30"/>
          <w:szCs w:val="30"/>
          <w:rtl/>
        </w:rPr>
        <w:t>يقرر</w:t>
      </w:r>
      <w:r>
        <w:rPr>
          <w:rFonts w:cs="Traditional Arabic"/>
          <w:sz w:val="30"/>
          <w:szCs w:val="30"/>
          <w:rtl/>
        </w:rPr>
        <w:t xml:space="preserve"> بأن يواصل</w:t>
      </w:r>
      <w:r w:rsidRPr="00BA4258">
        <w:rPr>
          <w:rFonts w:cs="Traditional Arabic"/>
          <w:sz w:val="30"/>
          <w:szCs w:val="30"/>
          <w:rtl/>
        </w:rPr>
        <w:t xml:space="preserve"> </w:t>
      </w:r>
      <w:r>
        <w:rPr>
          <w:rFonts w:cs="Traditional Arabic"/>
          <w:sz w:val="30"/>
          <w:szCs w:val="30"/>
          <w:rtl/>
        </w:rPr>
        <w:t>تقييم الإجراء الوارد تحت أحكام الفقرة 2 (ب) من المادة 3 في اجتماعه السادس.</w:t>
      </w:r>
    </w:p>
    <w:p w:rsidR="000B18ED" w:rsidRDefault="000B18ED"/>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76" w:rsidRDefault="004E3376" w:rsidP="00E50D03">
      <w:r>
        <w:separator/>
      </w:r>
    </w:p>
  </w:endnote>
  <w:endnote w:type="continuationSeparator" w:id="0">
    <w:p w:rsidR="004E3376" w:rsidRDefault="004E3376" w:rsidP="00E50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76" w:rsidRDefault="004E3376" w:rsidP="00E50D03">
      <w:r>
        <w:separator/>
      </w:r>
    </w:p>
  </w:footnote>
  <w:footnote w:type="continuationSeparator" w:id="0">
    <w:p w:rsidR="004E3376" w:rsidRDefault="004E3376" w:rsidP="00E50D03">
      <w:r>
        <w:continuationSeparator/>
      </w:r>
    </w:p>
  </w:footnote>
  <w:footnote w:id="1">
    <w:p w:rsidR="00E50D03" w:rsidRPr="00160D43" w:rsidRDefault="00E50D03" w:rsidP="00E50D03">
      <w:pPr>
        <w:pStyle w:val="FootnoteText"/>
        <w:spacing w:after="40" w:line="320" w:lineRule="exact"/>
        <w:ind w:left="1440"/>
        <w:jc w:val="both"/>
        <w:rPr>
          <w:rFonts w:cs="Traditional Arabic"/>
          <w:szCs w:val="26"/>
        </w:rPr>
      </w:pPr>
      <w:r w:rsidRPr="007448BF">
        <w:rPr>
          <w:rFonts w:cs="Traditional Arabic"/>
          <w:szCs w:val="26"/>
          <w:shd w:val="clear" w:color="auto" w:fill="FFFFFF"/>
          <w:rtl/>
        </w:rPr>
        <w:t>(</w:t>
      </w:r>
      <w:r w:rsidRPr="007448BF">
        <w:rPr>
          <w:rFonts w:cs="Traditional Arabic"/>
          <w:szCs w:val="26"/>
          <w:shd w:val="clear" w:color="auto" w:fill="FFFFFF"/>
          <w:rtl/>
        </w:rPr>
        <w:footnoteRef/>
      </w:r>
      <w:r w:rsidRPr="007448BF">
        <w:rPr>
          <w:rFonts w:cs="Traditional Arabic"/>
          <w:szCs w:val="26"/>
          <w:shd w:val="clear" w:color="auto" w:fill="FFFFFF"/>
          <w:rtl/>
        </w:rPr>
        <w:t>)</w:t>
      </w:r>
      <w:r w:rsidRPr="00160D43">
        <w:rPr>
          <w:rFonts w:cs="Traditional Arabic"/>
          <w:szCs w:val="26"/>
          <w:rtl/>
        </w:rPr>
        <w:tab/>
      </w:r>
      <w:r w:rsidRPr="0038674E">
        <w:rPr>
          <w:rStyle w:val="DeltaViewInsertion"/>
          <w:rFonts w:cs="Traditional Arabic"/>
          <w:color w:val="000000"/>
          <w:sz w:val="18"/>
          <w:szCs w:val="18"/>
        </w:rPr>
        <w:t>UNEP/POPS/COP.5/8</w:t>
      </w:r>
      <w:r>
        <w:rPr>
          <w:rStyle w:val="DeltaViewInsertion"/>
          <w:rFonts w:cs="Traditional Arabic"/>
          <w:color w:val="000000"/>
          <w:szCs w:val="26"/>
          <w:rtl/>
        </w:rPr>
        <w:t>، المرفق.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E50D03"/>
    <w:rsid w:val="000B18ED"/>
    <w:rsid w:val="004E3376"/>
    <w:rsid w:val="007E3722"/>
    <w:rsid w:val="00E50D0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03"/>
    <w:pPr>
      <w:bidi/>
      <w:spacing w:after="0" w:line="240" w:lineRule="auto"/>
    </w:pPr>
    <w:rPr>
      <w:rFonts w:ascii="Times New Roman" w:eastAsia="Times New Roman" w:hAnsi="Times New Roman" w:cs="Simplified Arabic"/>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E Fußnotentext,ft,Fußnote,Fußnotentext Ursprung,fn,footnote text,Footnotes,Footnote ak,fn cafc,Footnotes Char Char,Footnote Text Char Char,fn Char Char,footnote text Char Char Char Ch,Car"/>
    <w:basedOn w:val="Normal"/>
    <w:link w:val="FootnoteTextChar1"/>
    <w:semiHidden/>
    <w:rsid w:val="00E50D03"/>
    <w:rPr>
      <w:sz w:val="20"/>
      <w:szCs w:val="20"/>
    </w:rPr>
  </w:style>
  <w:style w:type="character" w:customStyle="1" w:styleId="FootnoteTextChar">
    <w:name w:val="Footnote Text Char"/>
    <w:basedOn w:val="DefaultParagraphFont"/>
    <w:link w:val="FootnoteText"/>
    <w:uiPriority w:val="99"/>
    <w:semiHidden/>
    <w:rsid w:val="00E50D03"/>
    <w:rPr>
      <w:rFonts w:ascii="Times New Roman" w:eastAsia="Times New Roman" w:hAnsi="Times New Roman" w:cs="Simplified Arabic"/>
      <w:sz w:val="20"/>
      <w:szCs w:val="20"/>
      <w:lang w:val="en-US" w:eastAsia="en-US"/>
    </w:rPr>
  </w:style>
  <w:style w:type="character" w:styleId="FootnoteReference">
    <w:name w:val="footnote reference"/>
    <w:aliases w:val="ftref,16 Point,Superscript 6 Point"/>
    <w:basedOn w:val="DefaultParagraphFont"/>
    <w:semiHidden/>
    <w:rsid w:val="00E50D03"/>
    <w:rPr>
      <w:vertAlign w:val="superscript"/>
    </w:rPr>
  </w:style>
  <w:style w:type="character" w:customStyle="1" w:styleId="FootnoteTextChar1">
    <w:name w:val="Footnote Text Char1"/>
    <w:aliases w:val="DNV-FT Char1,Geneva 9 Char1,Font: Geneva 9 Char1,Boston 10 Char1,f Char1,-E Fußnotentext Char1,ft Char1,Fußnote Char1,Fußnotentext Ursprung Char1,fn Char1,footnote text Char1,Footnotes Char1,Footnote ak Char1,fn cafc Char1,Car Char"/>
    <w:link w:val="FootnoteText"/>
    <w:semiHidden/>
    <w:locked/>
    <w:rsid w:val="00E50D03"/>
    <w:rPr>
      <w:rFonts w:ascii="Times New Roman" w:eastAsia="Times New Roman" w:hAnsi="Times New Roman" w:cs="Simplified Arabic"/>
      <w:sz w:val="20"/>
      <w:szCs w:val="20"/>
      <w:lang w:val="en-US" w:eastAsia="en-US"/>
    </w:rPr>
  </w:style>
  <w:style w:type="character" w:customStyle="1" w:styleId="DeltaViewInsertion">
    <w:name w:val="DeltaView Insertion"/>
    <w:rsid w:val="00E50D03"/>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2014-10-27T13:46:00Z</dcterms:created>
  <dcterms:modified xsi:type="dcterms:W3CDTF">2014-10-27T13:47:00Z</dcterms:modified>
</cp:coreProperties>
</file>