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9A" w:rsidRPr="0077070C" w:rsidRDefault="0025579A" w:rsidP="0025579A">
      <w:pPr>
        <w:spacing w:before="120" w:after="120" w:line="360" w:lineRule="exact"/>
        <w:ind w:left="1440"/>
        <w:jc w:val="both"/>
        <w:rPr>
          <w:rFonts w:hint="cs"/>
          <w:b/>
          <w:bCs/>
          <w:sz w:val="30"/>
          <w:rtl/>
        </w:rPr>
      </w:pPr>
      <w:r w:rsidRPr="0077070C">
        <w:rPr>
          <w:rFonts w:hint="cs"/>
          <w:b/>
          <w:bCs/>
          <w:sz w:val="30"/>
          <w:rtl/>
          <w:lang w:val="en-GB"/>
        </w:rPr>
        <w:t xml:space="preserve">المقرر </w:t>
      </w:r>
      <w:r w:rsidRPr="0077070C">
        <w:rPr>
          <w:rFonts w:hint="eastAsia"/>
          <w:b/>
          <w:bCs/>
          <w:sz w:val="30"/>
          <w:rtl/>
          <w:lang w:val="en-GB"/>
        </w:rPr>
        <w:t>ا</w:t>
      </w:r>
      <w:r w:rsidRPr="0077070C">
        <w:rPr>
          <w:rFonts w:hint="cs"/>
          <w:b/>
          <w:bCs/>
          <w:sz w:val="30"/>
          <w:rtl/>
          <w:lang w:val="en-GB"/>
        </w:rPr>
        <w:t xml:space="preserve"> </w:t>
      </w:r>
      <w:r w:rsidRPr="0077070C">
        <w:rPr>
          <w:rFonts w:hint="eastAsia"/>
          <w:b/>
          <w:bCs/>
          <w:sz w:val="30"/>
          <w:rtl/>
          <w:lang w:val="en-GB"/>
        </w:rPr>
        <w:t>س</w:t>
      </w:r>
      <w:r w:rsidRPr="0077070C">
        <w:rPr>
          <w:rFonts w:hint="cs"/>
          <w:b/>
          <w:bCs/>
          <w:sz w:val="30"/>
          <w:rtl/>
        </w:rPr>
        <w:t xml:space="preserve"> - </w:t>
      </w:r>
      <w:r w:rsidRPr="0077070C">
        <w:rPr>
          <w:b/>
          <w:bCs/>
          <w:sz w:val="30"/>
          <w:rtl/>
        </w:rPr>
        <w:t>4/</w:t>
      </w:r>
      <w:r w:rsidRPr="0077070C">
        <w:rPr>
          <w:rFonts w:hint="cs"/>
          <w:b/>
          <w:bCs/>
          <w:sz w:val="30"/>
          <w:rtl/>
        </w:rPr>
        <w:t>35</w:t>
      </w:r>
      <w:r w:rsidRPr="0077070C">
        <w:rPr>
          <w:b/>
          <w:bCs/>
          <w:sz w:val="30"/>
          <w:rtl/>
        </w:rPr>
        <w:t xml:space="preserve">: </w:t>
      </w:r>
      <w:r w:rsidRPr="0077070C">
        <w:rPr>
          <w:rFonts w:hint="cs"/>
          <w:b/>
          <w:bCs/>
          <w:sz w:val="30"/>
          <w:rtl/>
        </w:rPr>
        <w:t>الاتصالات الرسمية</w:t>
      </w:r>
    </w:p>
    <w:p w:rsidR="0025579A" w:rsidRPr="00E37CA9" w:rsidRDefault="0025579A" w:rsidP="0025579A">
      <w:pPr>
        <w:spacing w:after="120" w:line="360" w:lineRule="exact"/>
        <w:ind w:left="1417" w:firstLine="708"/>
        <w:jc w:val="both"/>
        <w:rPr>
          <w:rtl/>
        </w:rPr>
      </w:pPr>
      <w:r w:rsidRPr="00E37CA9">
        <w:rPr>
          <w:i/>
          <w:iCs/>
          <w:rtl/>
        </w:rPr>
        <w:t>إن مؤتمر الأطراف</w:t>
      </w:r>
      <w:r w:rsidRPr="00E37CA9">
        <w:rPr>
          <w:rtl/>
        </w:rPr>
        <w:t>،</w:t>
      </w:r>
    </w:p>
    <w:p w:rsidR="0025579A" w:rsidRDefault="0025579A" w:rsidP="0025579A">
      <w:pPr>
        <w:spacing w:before="120" w:after="120" w:line="360" w:lineRule="exact"/>
        <w:ind w:left="1327"/>
        <w:jc w:val="both"/>
        <w:rPr>
          <w:rFonts w:hint="cs"/>
          <w:rtl/>
          <w:lang w:bidi="ar-EG"/>
        </w:rPr>
      </w:pPr>
      <w:r>
        <w:rPr>
          <w:rFonts w:hint="cs"/>
          <w:rtl/>
          <w:lang w:bidi="ar-EG"/>
        </w:rPr>
        <w:tab/>
        <w:t>1 -</w:t>
      </w:r>
      <w:r>
        <w:rPr>
          <w:rFonts w:hint="cs"/>
          <w:rtl/>
          <w:lang w:bidi="ar-EG"/>
        </w:rPr>
        <w:tab/>
      </w:r>
      <w:r w:rsidRPr="00914C26">
        <w:rPr>
          <w:rFonts w:hint="cs"/>
          <w:i/>
          <w:iCs/>
          <w:rtl/>
          <w:lang w:bidi="ar-EG"/>
        </w:rPr>
        <w:t>يحث</w:t>
      </w:r>
      <w:r>
        <w:rPr>
          <w:rFonts w:hint="cs"/>
          <w:rtl/>
          <w:lang w:bidi="ar-EG"/>
        </w:rPr>
        <w:t xml:space="preserve"> الأطراف التي لم تعيَّن بعد جهات اتصال رسمية مكلَّفة بأداء الوظائف الإدارية وإجراء الاتصالات الرسمية ضمن إطار الاتفاقية بالنيابة عن الأطراف على أن تقوم بذلك؛</w:t>
      </w:r>
    </w:p>
    <w:p w:rsidR="0025579A" w:rsidRDefault="0025579A" w:rsidP="0025579A">
      <w:pPr>
        <w:spacing w:before="120" w:after="120" w:line="360" w:lineRule="exact"/>
        <w:ind w:left="1327"/>
        <w:jc w:val="both"/>
        <w:rPr>
          <w:rFonts w:hint="cs"/>
          <w:rtl/>
          <w:lang w:bidi="ar-EG"/>
        </w:rPr>
      </w:pPr>
      <w:r>
        <w:rPr>
          <w:rFonts w:hint="cs"/>
          <w:rtl/>
          <w:lang w:bidi="ar-EG"/>
        </w:rPr>
        <w:tab/>
        <w:t>2 -</w:t>
      </w:r>
      <w:r>
        <w:rPr>
          <w:rFonts w:hint="cs"/>
          <w:rtl/>
          <w:lang w:bidi="ar-EG"/>
        </w:rPr>
        <w:tab/>
      </w:r>
      <w:r w:rsidRPr="00914C26">
        <w:rPr>
          <w:rFonts w:hint="cs"/>
          <w:i/>
          <w:iCs/>
          <w:rtl/>
          <w:lang w:bidi="ar-EG"/>
        </w:rPr>
        <w:t>يدعو</w:t>
      </w:r>
      <w:r>
        <w:rPr>
          <w:rFonts w:hint="cs"/>
          <w:rtl/>
          <w:lang w:bidi="ar-EG"/>
        </w:rPr>
        <w:t xml:space="preserve"> الأطراف والدول غير الأطراف في الاتفاقية التي لم تقرّ بعد تعيين ما لديها من جهات تنسيق وطنية قائمة أو لم تعيِّن جهات تنسيق وطنية جديدة لتبادل المعلومات إلى أن تقوم بذلك؛</w:t>
      </w:r>
    </w:p>
    <w:p w:rsidR="0025579A" w:rsidRPr="00914C26" w:rsidRDefault="0025579A" w:rsidP="0025579A">
      <w:pPr>
        <w:ind w:left="1327"/>
        <w:jc w:val="both"/>
        <w:rPr>
          <w:rFonts w:hint="cs"/>
          <w:rtl/>
          <w:lang w:bidi="ar-EG"/>
        </w:rPr>
      </w:pPr>
      <w:r>
        <w:rPr>
          <w:rFonts w:hint="cs"/>
          <w:rtl/>
          <w:lang w:bidi="ar-EG"/>
        </w:rPr>
        <w:tab/>
        <w:t>3 -</w:t>
      </w:r>
      <w:r>
        <w:rPr>
          <w:rFonts w:hint="cs"/>
          <w:rtl/>
          <w:lang w:bidi="ar-EG"/>
        </w:rPr>
        <w:tab/>
      </w:r>
      <w:r w:rsidRPr="00914C26">
        <w:rPr>
          <w:rFonts w:hint="cs"/>
          <w:i/>
          <w:iCs/>
          <w:rtl/>
          <w:lang w:bidi="ar-EG"/>
        </w:rPr>
        <w:t>يأخذ علماً</w:t>
      </w:r>
      <w:r>
        <w:rPr>
          <w:rFonts w:hint="cs"/>
          <w:rtl/>
          <w:lang w:bidi="ar-EG"/>
        </w:rPr>
        <w:t xml:space="preserve"> بقائمة المنظمات غير الحكومية التي لم تحضر اجتماعاً سابقاً لمؤتمر الأطراف ولكنها سجَّلت لحضور الاجتماع الجاري.</w:t>
      </w:r>
      <w:r w:rsidRPr="00914C26">
        <w:rPr>
          <w:vertAlign w:val="superscript"/>
          <w:rtl/>
          <w:lang w:bidi="ar-EG"/>
        </w:rPr>
        <w:t>(</w:t>
      </w:r>
      <w:r>
        <w:rPr>
          <w:rStyle w:val="FootnoteReference"/>
          <w:rtl/>
        </w:rPr>
        <w:footnoteReference w:id="1"/>
      </w:r>
      <w:r w:rsidRPr="00914C26">
        <w:rPr>
          <w:vertAlign w:val="superscript"/>
          <w:rtl/>
          <w:lang w:bidi="ar-EG"/>
        </w:rPr>
        <w:t>)</w:t>
      </w:r>
    </w:p>
    <w:p w:rsidR="0025579A" w:rsidRDefault="0025579A" w:rsidP="0025579A">
      <w:pPr>
        <w:spacing w:line="20" w:lineRule="exact"/>
        <w:jc w:val="both"/>
        <w:rPr>
          <w:rFonts w:hint="cs"/>
          <w:b/>
          <w:bCs/>
          <w:sz w:val="34"/>
          <w:szCs w:val="34"/>
          <w:rtl/>
          <w:lang w:bidi="ar-EG"/>
        </w:rPr>
      </w:pPr>
      <w:r w:rsidRPr="00CB30AF">
        <w:rPr>
          <w:b/>
          <w:bCs/>
          <w:sz w:val="34"/>
          <w:szCs w:val="34"/>
          <w:rtl/>
          <w:lang w:bidi="ar-EG"/>
        </w:rPr>
        <w:br w:type="page"/>
      </w:r>
    </w:p>
    <w:p w:rsidR="0025579A" w:rsidRPr="00CB30AF" w:rsidRDefault="0025579A" w:rsidP="0025579A">
      <w:pPr>
        <w:spacing w:before="120" w:after="120"/>
        <w:ind w:left="65"/>
        <w:jc w:val="both"/>
        <w:rPr>
          <w:rFonts w:hint="cs"/>
          <w:b/>
          <w:bCs/>
          <w:sz w:val="34"/>
          <w:szCs w:val="34"/>
          <w:rtl/>
          <w:lang w:bidi="ar-EG"/>
        </w:rPr>
      </w:pPr>
      <w:r w:rsidRPr="00CB30AF">
        <w:rPr>
          <w:rFonts w:hint="cs"/>
          <w:b/>
          <w:bCs/>
          <w:sz w:val="34"/>
          <w:szCs w:val="34"/>
          <w:rtl/>
          <w:lang w:bidi="ar-EG"/>
        </w:rPr>
        <w:lastRenderedPageBreak/>
        <w:t>المرفق الثاني</w:t>
      </w:r>
    </w:p>
    <w:p w:rsidR="0025579A" w:rsidRPr="00CB30AF" w:rsidRDefault="0025579A" w:rsidP="0025579A">
      <w:pPr>
        <w:spacing w:before="120" w:after="120"/>
        <w:ind w:left="1327"/>
        <w:jc w:val="both"/>
        <w:rPr>
          <w:rFonts w:hint="cs"/>
          <w:b/>
          <w:bCs/>
          <w:sz w:val="32"/>
          <w:szCs w:val="32"/>
          <w:rtl/>
          <w:lang w:bidi="ar-EG"/>
        </w:rPr>
      </w:pPr>
      <w:r w:rsidRPr="00CB30AF">
        <w:rPr>
          <w:rFonts w:hint="cs"/>
          <w:b/>
          <w:bCs/>
          <w:sz w:val="32"/>
          <w:szCs w:val="32"/>
          <w:rtl/>
          <w:lang w:bidi="ar-EG"/>
        </w:rPr>
        <w:t>قائمة بوثائق ما قبل الدورة مرتَّبة حسب بنود جدول الأعمال</w:t>
      </w:r>
    </w:p>
    <w:p w:rsidR="0025579A" w:rsidRPr="00CB30AF" w:rsidRDefault="0025579A" w:rsidP="0025579A">
      <w:pPr>
        <w:spacing w:before="120" w:after="120"/>
        <w:ind w:left="1327"/>
        <w:jc w:val="both"/>
        <w:rPr>
          <w:rFonts w:hint="cs"/>
          <w:b/>
          <w:bCs/>
          <w:sz w:val="30"/>
          <w:rtl/>
          <w:lang w:bidi="ar-EG"/>
        </w:rPr>
      </w:pPr>
      <w:r w:rsidRPr="00CB30AF">
        <w:rPr>
          <w:rFonts w:hint="cs"/>
          <w:b/>
          <w:bCs/>
          <w:sz w:val="30"/>
          <w:rtl/>
          <w:lang w:bidi="ar-EG"/>
        </w:rPr>
        <w:t>البند 2: المسائل التنظيمية</w:t>
      </w:r>
    </w:p>
    <w:tbl>
      <w:tblPr>
        <w:bidiVisual/>
        <w:tblW w:w="0" w:type="auto"/>
        <w:tblInd w:w="1363" w:type="dxa"/>
        <w:tblLook w:val="01E0"/>
      </w:tblPr>
      <w:tblGrid>
        <w:gridCol w:w="664"/>
        <w:gridCol w:w="2619"/>
        <w:gridCol w:w="5832"/>
      </w:tblGrid>
      <w:tr w:rsidR="0025579A" w:rsidTr="00434FCC">
        <w:tc>
          <w:tcPr>
            <w:tcW w:w="664" w:type="dxa"/>
          </w:tcPr>
          <w:p w:rsidR="0025579A" w:rsidRPr="00AF2466" w:rsidRDefault="0025579A" w:rsidP="00434FCC">
            <w:pPr>
              <w:spacing w:after="120" w:line="360" w:lineRule="exact"/>
              <w:jc w:val="both"/>
              <w:rPr>
                <w:rFonts w:hint="cs"/>
                <w:b/>
                <w:bCs/>
                <w:rtl/>
                <w:lang w:bidi="ar-EG"/>
              </w:rPr>
            </w:pPr>
            <w:r w:rsidRPr="00AF2466">
              <w:rPr>
                <w:rFonts w:hint="cs"/>
                <w:b/>
                <w:bCs/>
                <w:rtl/>
                <w:lang w:bidi="ar-EG"/>
              </w:rPr>
              <w:t>(أ)</w:t>
            </w:r>
          </w:p>
        </w:tc>
        <w:tc>
          <w:tcPr>
            <w:tcW w:w="2619" w:type="dxa"/>
          </w:tcPr>
          <w:p w:rsidR="0025579A" w:rsidRPr="00AF2466" w:rsidRDefault="0025579A" w:rsidP="00434FCC">
            <w:pPr>
              <w:spacing w:after="120" w:line="360" w:lineRule="exact"/>
              <w:jc w:val="both"/>
              <w:rPr>
                <w:rFonts w:hint="cs"/>
                <w:b/>
                <w:bCs/>
                <w:rtl/>
                <w:lang w:bidi="ar-EG"/>
              </w:rPr>
            </w:pPr>
            <w:r w:rsidRPr="00AF2466">
              <w:rPr>
                <w:rFonts w:hint="cs"/>
                <w:b/>
                <w:bCs/>
                <w:rtl/>
                <w:lang w:bidi="ar-EG"/>
              </w:rPr>
              <w:t>انتخاب أعضاء المكتب</w:t>
            </w:r>
          </w:p>
          <w:p w:rsidR="0025579A" w:rsidRPr="00ED402D" w:rsidRDefault="0025579A" w:rsidP="00434FCC">
            <w:pPr>
              <w:spacing w:after="120" w:line="360" w:lineRule="exact"/>
              <w:jc w:val="both"/>
              <w:rPr>
                <w:rFonts w:hint="cs"/>
                <w:rtl/>
              </w:rPr>
            </w:pPr>
            <w:r>
              <w:rPr>
                <w:lang w:bidi="ar-EG"/>
              </w:rPr>
              <w:t>UNEP/POPS/COP.4/2</w:t>
            </w:r>
          </w:p>
        </w:tc>
        <w:tc>
          <w:tcPr>
            <w:tcW w:w="5832" w:type="dxa"/>
          </w:tcPr>
          <w:p w:rsidR="0025579A" w:rsidRDefault="0025579A" w:rsidP="00434FCC">
            <w:pPr>
              <w:spacing w:after="120" w:line="360" w:lineRule="exact"/>
              <w:jc w:val="both"/>
              <w:rPr>
                <w:rFonts w:hint="cs"/>
                <w:rtl/>
                <w:lang w:bidi="ar-EG"/>
              </w:rPr>
            </w:pPr>
          </w:p>
          <w:p w:rsidR="0025579A" w:rsidRDefault="0025579A" w:rsidP="00434FCC">
            <w:pPr>
              <w:spacing w:after="120" w:line="360" w:lineRule="exact"/>
              <w:jc w:val="both"/>
              <w:rPr>
                <w:rFonts w:hint="cs"/>
                <w:rtl/>
                <w:lang w:bidi="ar-EG"/>
              </w:rPr>
            </w:pPr>
            <w:r>
              <w:rPr>
                <w:rFonts w:hint="cs"/>
                <w:rtl/>
                <w:lang w:bidi="ar-EG"/>
              </w:rPr>
              <w:t>انتخاب أعضاء مكتب مؤتمر الأطراف في اجتماعه الرابع</w:t>
            </w:r>
          </w:p>
        </w:tc>
      </w:tr>
      <w:tr w:rsidR="0025579A" w:rsidTr="00434FCC">
        <w:tc>
          <w:tcPr>
            <w:tcW w:w="664" w:type="dxa"/>
          </w:tcPr>
          <w:p w:rsidR="0025579A" w:rsidRPr="00AF2466" w:rsidRDefault="0025579A" w:rsidP="00434FCC">
            <w:pPr>
              <w:spacing w:after="120" w:line="360" w:lineRule="exact"/>
              <w:jc w:val="both"/>
              <w:rPr>
                <w:rFonts w:hint="cs"/>
                <w:b/>
                <w:bCs/>
                <w:rtl/>
                <w:lang w:bidi="ar-EG"/>
              </w:rPr>
            </w:pPr>
            <w:r w:rsidRPr="00AF2466">
              <w:rPr>
                <w:rFonts w:hint="cs"/>
                <w:b/>
                <w:bCs/>
                <w:rtl/>
                <w:lang w:bidi="ar-EG"/>
              </w:rPr>
              <w:t>(ب)</w:t>
            </w:r>
          </w:p>
        </w:tc>
        <w:tc>
          <w:tcPr>
            <w:tcW w:w="2619" w:type="dxa"/>
          </w:tcPr>
          <w:p w:rsidR="0025579A" w:rsidRDefault="0025579A" w:rsidP="00434FCC">
            <w:pPr>
              <w:spacing w:after="120" w:line="360" w:lineRule="exact"/>
              <w:jc w:val="both"/>
              <w:rPr>
                <w:rFonts w:hint="cs"/>
                <w:rtl/>
                <w:lang w:bidi="ar-EG"/>
              </w:rPr>
            </w:pPr>
            <w:r w:rsidRPr="00AF2466">
              <w:rPr>
                <w:rFonts w:hint="cs"/>
                <w:b/>
                <w:bCs/>
                <w:rtl/>
                <w:lang w:bidi="ar-EG"/>
              </w:rPr>
              <w:t>إقرار جدول الأعمال</w:t>
            </w:r>
          </w:p>
          <w:p w:rsidR="0025579A" w:rsidRDefault="0025579A" w:rsidP="00434FCC">
            <w:pPr>
              <w:spacing w:after="120" w:line="360" w:lineRule="exact"/>
              <w:jc w:val="both"/>
              <w:rPr>
                <w:rFonts w:hint="cs"/>
                <w:rtl/>
                <w:lang w:bidi="ar-EG"/>
              </w:rPr>
            </w:pPr>
            <w:r>
              <w:rPr>
                <w:lang w:bidi="ar-EG"/>
              </w:rPr>
              <w:t>UNEP/POPS/COP.4/1</w:t>
            </w:r>
          </w:p>
          <w:p w:rsidR="0025579A" w:rsidRPr="005B5888" w:rsidRDefault="0025579A" w:rsidP="00434FCC">
            <w:pPr>
              <w:spacing w:after="120" w:line="360" w:lineRule="exact"/>
              <w:jc w:val="both"/>
              <w:rPr>
                <w:rFonts w:hint="cs"/>
                <w:rtl/>
                <w:lang w:bidi="ar-EG"/>
              </w:rPr>
            </w:pPr>
            <w:r>
              <w:rPr>
                <w:lang w:bidi="ar-EG"/>
              </w:rPr>
              <w:t>UNEP/POPS/COP.4/1/Add.1</w:t>
            </w:r>
          </w:p>
        </w:tc>
        <w:tc>
          <w:tcPr>
            <w:tcW w:w="5832" w:type="dxa"/>
          </w:tcPr>
          <w:p w:rsidR="0025579A" w:rsidRDefault="0025579A" w:rsidP="00434FCC">
            <w:pPr>
              <w:spacing w:after="120" w:line="360" w:lineRule="exact"/>
              <w:jc w:val="both"/>
              <w:rPr>
                <w:rFonts w:hint="cs"/>
                <w:rtl/>
                <w:lang w:bidi="ar-EG"/>
              </w:rPr>
            </w:pPr>
          </w:p>
          <w:p w:rsidR="0025579A" w:rsidRDefault="0025579A" w:rsidP="00434FCC">
            <w:pPr>
              <w:spacing w:after="120" w:line="360" w:lineRule="exact"/>
              <w:jc w:val="both"/>
              <w:rPr>
                <w:rFonts w:hint="cs"/>
                <w:rtl/>
                <w:lang w:bidi="ar-EG"/>
              </w:rPr>
            </w:pPr>
            <w:r>
              <w:rPr>
                <w:rFonts w:hint="cs"/>
                <w:rtl/>
                <w:lang w:bidi="ar-EG"/>
              </w:rPr>
              <w:t>جدول الأعمال المؤقت</w:t>
            </w:r>
          </w:p>
          <w:p w:rsidR="0025579A" w:rsidRDefault="0025579A" w:rsidP="00434FCC">
            <w:pPr>
              <w:spacing w:after="120" w:line="360" w:lineRule="exact"/>
              <w:jc w:val="both"/>
              <w:rPr>
                <w:rFonts w:hint="cs"/>
                <w:rtl/>
                <w:lang w:bidi="ar-EG"/>
              </w:rPr>
            </w:pPr>
            <w:r>
              <w:rPr>
                <w:rFonts w:hint="cs"/>
                <w:rtl/>
                <w:lang w:bidi="ar-EG"/>
              </w:rPr>
              <w:t>جدول الأعمال المؤقت المشروح</w:t>
            </w:r>
          </w:p>
        </w:tc>
      </w:tr>
      <w:tr w:rsidR="0025579A" w:rsidTr="00434FCC">
        <w:tc>
          <w:tcPr>
            <w:tcW w:w="664" w:type="dxa"/>
          </w:tcPr>
          <w:p w:rsidR="0025579A" w:rsidRPr="00AF2466" w:rsidRDefault="0025579A" w:rsidP="00434FCC">
            <w:pPr>
              <w:spacing w:after="120" w:line="360" w:lineRule="exact"/>
              <w:jc w:val="both"/>
              <w:rPr>
                <w:rFonts w:hint="cs"/>
                <w:b/>
                <w:bCs/>
                <w:rtl/>
                <w:lang w:bidi="ar-EG"/>
              </w:rPr>
            </w:pPr>
            <w:r w:rsidRPr="00AF2466">
              <w:rPr>
                <w:rFonts w:hint="cs"/>
                <w:b/>
                <w:bCs/>
                <w:rtl/>
                <w:lang w:bidi="ar-EG"/>
              </w:rPr>
              <w:t>(ج)</w:t>
            </w:r>
          </w:p>
        </w:tc>
        <w:tc>
          <w:tcPr>
            <w:tcW w:w="2619" w:type="dxa"/>
          </w:tcPr>
          <w:p w:rsidR="0025579A" w:rsidRPr="00AF2466" w:rsidRDefault="0025579A" w:rsidP="00434FCC">
            <w:pPr>
              <w:spacing w:after="120" w:line="360" w:lineRule="exact"/>
              <w:jc w:val="both"/>
              <w:rPr>
                <w:rFonts w:hint="cs"/>
                <w:b/>
                <w:bCs/>
                <w:rtl/>
                <w:lang w:bidi="ar-EG"/>
              </w:rPr>
            </w:pPr>
            <w:r w:rsidRPr="00AF2466">
              <w:rPr>
                <w:rFonts w:hint="cs"/>
                <w:b/>
                <w:bCs/>
                <w:rtl/>
                <w:lang w:bidi="ar-EG"/>
              </w:rPr>
              <w:t>تنظيم العمل</w:t>
            </w:r>
          </w:p>
          <w:p w:rsidR="0025579A" w:rsidRDefault="0025579A" w:rsidP="00434FCC">
            <w:pPr>
              <w:spacing w:after="120" w:line="360" w:lineRule="exact"/>
              <w:jc w:val="both"/>
              <w:rPr>
                <w:rFonts w:hint="cs"/>
                <w:rtl/>
                <w:lang w:bidi="ar-EG"/>
              </w:rPr>
            </w:pPr>
            <w:r>
              <w:rPr>
                <w:lang w:bidi="ar-EG"/>
              </w:rPr>
              <w:t>UNEP/POPS/COP.4/INF/1</w:t>
            </w:r>
          </w:p>
          <w:p w:rsidR="0025579A" w:rsidRDefault="0025579A" w:rsidP="00434FCC">
            <w:pPr>
              <w:spacing w:after="120" w:line="360" w:lineRule="exact"/>
              <w:jc w:val="both"/>
              <w:rPr>
                <w:rFonts w:hint="cs"/>
                <w:rtl/>
                <w:lang w:bidi="ar-EG"/>
              </w:rPr>
            </w:pPr>
            <w:r>
              <w:rPr>
                <w:lang w:bidi="ar-EG"/>
              </w:rPr>
              <w:t>UNEP/POPS/COP.4/INF/32</w:t>
            </w:r>
          </w:p>
        </w:tc>
        <w:tc>
          <w:tcPr>
            <w:tcW w:w="5832" w:type="dxa"/>
          </w:tcPr>
          <w:p w:rsidR="0025579A" w:rsidRDefault="0025579A" w:rsidP="00434FCC">
            <w:pPr>
              <w:spacing w:after="120" w:line="360" w:lineRule="exact"/>
              <w:jc w:val="both"/>
              <w:rPr>
                <w:rFonts w:hint="cs"/>
                <w:rtl/>
                <w:lang w:bidi="ar-EG"/>
              </w:rPr>
            </w:pPr>
          </w:p>
          <w:p w:rsidR="0025579A" w:rsidRPr="00AF2466" w:rsidRDefault="0025579A" w:rsidP="00434FCC">
            <w:pPr>
              <w:spacing w:after="120" w:line="360" w:lineRule="exact"/>
              <w:jc w:val="both"/>
              <w:rPr>
                <w:rFonts w:hint="cs"/>
                <w:w w:val="90"/>
                <w:rtl/>
                <w:lang w:bidi="ar-EG"/>
              </w:rPr>
            </w:pPr>
            <w:r w:rsidRPr="00AF2466">
              <w:rPr>
                <w:rFonts w:hint="cs"/>
                <w:w w:val="90"/>
                <w:rtl/>
                <w:lang w:bidi="ar-EG"/>
              </w:rPr>
              <w:t>مذكرة بشأن سيناريو الاجتماع الرابع لمؤتمر الأطراف في اتفاقية استكهولم</w:t>
            </w:r>
          </w:p>
          <w:p w:rsidR="0025579A" w:rsidRDefault="0025579A" w:rsidP="00434FCC">
            <w:pPr>
              <w:spacing w:after="120" w:line="360" w:lineRule="exact"/>
              <w:jc w:val="both"/>
              <w:rPr>
                <w:rFonts w:hint="cs"/>
                <w:rtl/>
                <w:lang w:bidi="ar-EG"/>
              </w:rPr>
            </w:pPr>
            <w:r>
              <w:rPr>
                <w:rFonts w:hint="cs"/>
                <w:rtl/>
                <w:lang w:bidi="ar-EG"/>
              </w:rPr>
              <w:t>قائمة وثائق ما قبل الدورة مرتَّبة حسب بنود جدول الأعمال</w:t>
            </w:r>
          </w:p>
        </w:tc>
      </w:tr>
    </w:tbl>
    <w:p w:rsidR="0025579A" w:rsidRPr="00CB30AF" w:rsidRDefault="0025579A" w:rsidP="0025579A">
      <w:pPr>
        <w:spacing w:before="240" w:after="120"/>
        <w:ind w:left="1327"/>
        <w:jc w:val="both"/>
        <w:rPr>
          <w:rFonts w:hint="cs"/>
          <w:b/>
          <w:bCs/>
          <w:sz w:val="30"/>
          <w:rtl/>
          <w:lang w:bidi="ar-EG"/>
        </w:rPr>
      </w:pPr>
      <w:r w:rsidRPr="00CB30AF">
        <w:rPr>
          <w:rFonts w:hint="cs"/>
          <w:b/>
          <w:bCs/>
          <w:sz w:val="30"/>
          <w:rtl/>
          <w:lang w:bidi="ar-EG"/>
        </w:rPr>
        <w:t>البند 3: النظام الداخلي لمؤتمر الأطراف وهيئاته الفرعية</w:t>
      </w:r>
    </w:p>
    <w:tbl>
      <w:tblPr>
        <w:bidiVisual/>
        <w:tblW w:w="0" w:type="auto"/>
        <w:tblInd w:w="1363" w:type="dxa"/>
        <w:tblLook w:val="01E0"/>
      </w:tblPr>
      <w:tblGrid>
        <w:gridCol w:w="721"/>
        <w:gridCol w:w="2987"/>
        <w:gridCol w:w="5407"/>
      </w:tblGrid>
      <w:tr w:rsidR="0025579A" w:rsidTr="00434FCC">
        <w:tc>
          <w:tcPr>
            <w:tcW w:w="721" w:type="dxa"/>
          </w:tcPr>
          <w:p w:rsidR="0025579A" w:rsidRPr="00AF2466" w:rsidRDefault="0025579A" w:rsidP="00434FCC">
            <w:pPr>
              <w:jc w:val="both"/>
              <w:rPr>
                <w:rFonts w:hint="cs"/>
                <w:b/>
                <w:bCs/>
                <w:rtl/>
                <w:lang w:bidi="ar-EG"/>
              </w:rPr>
            </w:pPr>
          </w:p>
        </w:tc>
        <w:tc>
          <w:tcPr>
            <w:tcW w:w="2987" w:type="dxa"/>
          </w:tcPr>
          <w:p w:rsidR="0025579A" w:rsidRPr="00ED402D" w:rsidRDefault="0025579A" w:rsidP="00434FCC">
            <w:pPr>
              <w:jc w:val="both"/>
              <w:rPr>
                <w:lang w:bidi="ar-EG"/>
              </w:rPr>
            </w:pPr>
            <w:r>
              <w:rPr>
                <w:lang w:bidi="ar-EG"/>
              </w:rPr>
              <w:t>UNEP/POPS/COP.4/3</w:t>
            </w:r>
          </w:p>
        </w:tc>
        <w:tc>
          <w:tcPr>
            <w:tcW w:w="5407" w:type="dxa"/>
          </w:tcPr>
          <w:p w:rsidR="0025579A" w:rsidRDefault="0025579A" w:rsidP="00434FCC">
            <w:pPr>
              <w:jc w:val="both"/>
              <w:rPr>
                <w:rFonts w:hint="cs"/>
                <w:rtl/>
                <w:lang w:bidi="ar-EG"/>
              </w:rPr>
            </w:pPr>
            <w:r>
              <w:rPr>
                <w:rFonts w:hint="cs"/>
                <w:rtl/>
                <w:lang w:bidi="ar-EG"/>
              </w:rPr>
              <w:t>النظام الداخلي لمؤتمر الأطراف</w:t>
            </w:r>
          </w:p>
        </w:tc>
      </w:tr>
    </w:tbl>
    <w:p w:rsidR="0025579A" w:rsidRPr="00CB30AF" w:rsidRDefault="0025579A" w:rsidP="0025579A">
      <w:pPr>
        <w:spacing w:before="240" w:after="120"/>
        <w:ind w:left="1327"/>
        <w:jc w:val="both"/>
        <w:rPr>
          <w:rFonts w:hint="cs"/>
          <w:b/>
          <w:bCs/>
          <w:sz w:val="30"/>
          <w:rtl/>
          <w:lang w:bidi="ar-EG"/>
        </w:rPr>
      </w:pPr>
      <w:r w:rsidRPr="00CB30AF">
        <w:rPr>
          <w:rFonts w:hint="cs"/>
          <w:b/>
          <w:bCs/>
          <w:sz w:val="30"/>
          <w:rtl/>
          <w:lang w:bidi="ar-EG"/>
        </w:rPr>
        <w:t>البند 5: قضايا لينظر فيها مؤتمر الأطراف أو ليتخذ إجراءات بشأنها</w:t>
      </w:r>
    </w:p>
    <w:tbl>
      <w:tblPr>
        <w:bidiVisual/>
        <w:tblW w:w="0" w:type="auto"/>
        <w:tblInd w:w="1363" w:type="dxa"/>
        <w:tblLook w:val="01E0"/>
      </w:tblPr>
      <w:tblGrid>
        <w:gridCol w:w="720"/>
        <w:gridCol w:w="3008"/>
        <w:gridCol w:w="5387"/>
      </w:tblGrid>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(أ)</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تدابير لخفض الإطلاقات من الإنتاج والاستخدام المقصودين أو القضاء عليها</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’1‘</w:t>
            </w:r>
          </w:p>
        </w:tc>
        <w:tc>
          <w:tcPr>
            <w:tcW w:w="3008" w:type="dxa"/>
          </w:tcPr>
          <w:p w:rsidR="0025579A" w:rsidRPr="00AF2466" w:rsidRDefault="0025579A" w:rsidP="00434FCC">
            <w:pPr>
              <w:spacing w:after="120"/>
              <w:jc w:val="both"/>
              <w:rPr>
                <w:rFonts w:hint="cs"/>
                <w:b/>
                <w:bCs/>
                <w:rtl/>
                <w:lang w:bidi="ar-EG"/>
              </w:rPr>
            </w:pPr>
            <w:r w:rsidRPr="00AF2466">
              <w:rPr>
                <w:rFonts w:hint="cs"/>
                <w:b/>
                <w:bCs/>
                <w:rtl/>
                <w:lang w:bidi="ar-EG"/>
              </w:rPr>
              <w:t>مادة الـ دي. دي. تي</w:t>
            </w:r>
          </w:p>
        </w:tc>
        <w:tc>
          <w:tcPr>
            <w:tcW w:w="5387" w:type="dxa"/>
          </w:tcPr>
          <w:p w:rsidR="0025579A" w:rsidRDefault="0025579A" w:rsidP="00434FCC">
            <w:pPr>
              <w:spacing w:after="120"/>
              <w:jc w:val="both"/>
              <w:rPr>
                <w:rFonts w:hint="cs"/>
                <w:rtl/>
                <w:lang w:bidi="ar-EG"/>
              </w:rPr>
            </w:pP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spacing w:after="120"/>
              <w:jc w:val="both"/>
              <w:rPr>
                <w:rFonts w:hint="cs"/>
                <w:rtl/>
                <w:lang w:bidi="ar-EG"/>
              </w:rPr>
            </w:pPr>
            <w:r>
              <w:rPr>
                <w:lang w:bidi="ar-EG"/>
              </w:rPr>
              <w:t>UNEP/POPS/COP.4/4</w:t>
            </w:r>
          </w:p>
        </w:tc>
        <w:tc>
          <w:tcPr>
            <w:tcW w:w="5387" w:type="dxa"/>
          </w:tcPr>
          <w:p w:rsidR="0025579A" w:rsidRDefault="0025579A" w:rsidP="00434FCC">
            <w:pPr>
              <w:spacing w:after="120"/>
              <w:jc w:val="both"/>
              <w:rPr>
                <w:rFonts w:hint="cs"/>
                <w:rtl/>
                <w:lang w:bidi="ar-EG"/>
              </w:rPr>
            </w:pPr>
            <w:r>
              <w:rPr>
                <w:rFonts w:hint="cs"/>
                <w:rtl/>
                <w:lang w:bidi="ar-EG"/>
              </w:rPr>
              <w:t>تقييم استمرار الحاجة إلى مادة الـ دي. دي. تي لمكافحة ناقلات الأمراض وبدائل مادة الـ دي. دي. تي</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spacing w:after="120"/>
              <w:jc w:val="both"/>
              <w:rPr>
                <w:rFonts w:hint="cs"/>
                <w:rtl/>
                <w:lang w:bidi="ar-EG"/>
              </w:rPr>
            </w:pPr>
            <w:r>
              <w:rPr>
                <w:lang w:bidi="ar-EG"/>
              </w:rPr>
              <w:t>UNEP/POPS/COP.4/5</w:t>
            </w:r>
          </w:p>
        </w:tc>
        <w:tc>
          <w:tcPr>
            <w:tcW w:w="5387" w:type="dxa"/>
          </w:tcPr>
          <w:p w:rsidR="0025579A" w:rsidRDefault="0025579A" w:rsidP="00434FCC">
            <w:pPr>
              <w:spacing w:after="120"/>
              <w:jc w:val="both"/>
              <w:rPr>
                <w:rFonts w:hint="cs"/>
                <w:rtl/>
                <w:lang w:bidi="ar-EG"/>
              </w:rPr>
            </w:pPr>
            <w:r>
              <w:rPr>
                <w:rFonts w:hint="cs"/>
                <w:rtl/>
                <w:lang w:bidi="ar-EG"/>
              </w:rPr>
              <w:t>تقرير فريق الخبراء المعني بتقييم إنتاج واستخدام مادة الـ</w:t>
            </w:r>
            <w:r>
              <w:rPr>
                <w:rFonts w:hint="eastAsia"/>
                <w:rtl/>
                <w:lang w:bidi="ar-EG"/>
              </w:rPr>
              <w:t> </w:t>
            </w:r>
            <w:r>
              <w:rPr>
                <w:rFonts w:hint="cs"/>
                <w:rtl/>
                <w:lang w:bidi="ar-EG"/>
              </w:rPr>
              <w:t>دي.</w:t>
            </w:r>
            <w:r>
              <w:rPr>
                <w:rFonts w:hint="eastAsia"/>
                <w:rtl/>
                <w:lang w:bidi="ar-EG"/>
              </w:rPr>
              <w:t> </w:t>
            </w:r>
            <w:r>
              <w:rPr>
                <w:rFonts w:hint="cs"/>
                <w:rtl/>
                <w:lang w:bidi="ar-EG"/>
              </w:rPr>
              <w:t>دي.</w:t>
            </w:r>
            <w:r>
              <w:rPr>
                <w:rFonts w:hint="eastAsia"/>
                <w:rtl/>
                <w:lang w:bidi="ar-EG"/>
              </w:rPr>
              <w:t> </w:t>
            </w:r>
            <w:r>
              <w:rPr>
                <w:rFonts w:hint="cs"/>
                <w:rtl/>
                <w:lang w:bidi="ar-EG"/>
              </w:rPr>
              <w:t>تي وبدائلها لمكافحة ناقلات الأمراض</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Fonts w:hint="cs"/>
                <w:rtl/>
                <w:lang w:bidi="ar-EG"/>
              </w:rPr>
            </w:pPr>
            <w:r>
              <w:rPr>
                <w:lang w:bidi="ar-EG"/>
              </w:rPr>
              <w:t>UNEP/POPS/COP.4/6</w:t>
            </w:r>
          </w:p>
        </w:tc>
        <w:tc>
          <w:tcPr>
            <w:tcW w:w="5387" w:type="dxa"/>
          </w:tcPr>
          <w:p w:rsidR="0025579A" w:rsidRDefault="0025579A" w:rsidP="00434FCC">
            <w:pPr>
              <w:spacing w:after="120"/>
              <w:jc w:val="both"/>
              <w:rPr>
                <w:rFonts w:hint="cs"/>
                <w:rtl/>
                <w:lang w:bidi="ar-EG"/>
              </w:rPr>
            </w:pPr>
            <w:r>
              <w:rPr>
                <w:rFonts w:hint="cs"/>
                <w:rtl/>
                <w:lang w:bidi="ar-EG"/>
              </w:rPr>
              <w:t>مشروع خطة عمل للترويج لشراكة عالمية بشأن تطوير ونشر نواتج وأساليب واستراتيجيات بديلة لاستعمال الـ دي. دي. تي في مكافحة ناقلات الأمراض</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w:t>
            </w:r>
          </w:p>
        </w:tc>
        <w:tc>
          <w:tcPr>
            <w:tcW w:w="5387" w:type="dxa"/>
          </w:tcPr>
          <w:p w:rsidR="0025579A" w:rsidRDefault="0025579A" w:rsidP="00434FCC">
            <w:pPr>
              <w:spacing w:after="120"/>
              <w:jc w:val="both"/>
              <w:rPr>
                <w:rFonts w:hint="cs"/>
                <w:rtl/>
                <w:lang w:bidi="ar-EG"/>
              </w:rPr>
            </w:pPr>
            <w:r>
              <w:rPr>
                <w:rFonts w:hint="cs"/>
                <w:rtl/>
                <w:lang w:bidi="ar-EG"/>
              </w:rPr>
              <w:t>معلومات داعمة لخطة العمل للترويج لشراكة عالمية بشأن تطوير ونشر نواتج وأساليب واستراتيجيات بديلة لاستعمال الـ دي. دي. تي في مكافحة ناقلات الأمراض والمواد المرجعية المتصلة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UNEP/POPS/COP.4/INF/3</w:t>
            </w:r>
          </w:p>
        </w:tc>
        <w:tc>
          <w:tcPr>
            <w:tcW w:w="5387" w:type="dxa"/>
          </w:tcPr>
          <w:p w:rsidR="0025579A" w:rsidRDefault="0025579A" w:rsidP="00434FCC">
            <w:pPr>
              <w:spacing w:after="120"/>
              <w:jc w:val="both"/>
              <w:rPr>
                <w:rFonts w:hint="cs"/>
                <w:rtl/>
                <w:lang w:bidi="ar-EG"/>
              </w:rPr>
            </w:pPr>
            <w:r>
              <w:rPr>
                <w:rFonts w:hint="cs"/>
                <w:rtl/>
                <w:lang w:bidi="ar-EG"/>
              </w:rPr>
              <w:t>حالة تنفيذ الإدارة المتكاملة للناقلات</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UNEP/POPS/COP.4/INF/28</w:t>
            </w:r>
          </w:p>
        </w:tc>
        <w:tc>
          <w:tcPr>
            <w:tcW w:w="5387" w:type="dxa"/>
          </w:tcPr>
          <w:p w:rsidR="0025579A" w:rsidRDefault="0025579A" w:rsidP="00434FCC">
            <w:pPr>
              <w:spacing w:after="120"/>
              <w:jc w:val="both"/>
              <w:rPr>
                <w:rFonts w:hint="cs"/>
                <w:rtl/>
                <w:lang w:bidi="ar-EG"/>
              </w:rPr>
            </w:pPr>
            <w:r>
              <w:rPr>
                <w:rFonts w:hint="cs"/>
                <w:rtl/>
                <w:lang w:bidi="ar-EG"/>
              </w:rPr>
              <w:t>الحالة العالمية لمادة الـ دي. دي. تي وبدائلها للاستخدام في مكافحة الناقلات للوقاية من الأمراض</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lastRenderedPageBreak/>
              <w:t>’2‘</w:t>
            </w:r>
          </w:p>
        </w:tc>
        <w:tc>
          <w:tcPr>
            <w:tcW w:w="3008" w:type="dxa"/>
          </w:tcPr>
          <w:p w:rsidR="0025579A" w:rsidRPr="00AF2466" w:rsidRDefault="0025579A" w:rsidP="00434FCC">
            <w:pPr>
              <w:spacing w:after="120"/>
              <w:jc w:val="both"/>
              <w:rPr>
                <w:rFonts w:hint="cs"/>
                <w:b/>
                <w:bCs/>
                <w:rtl/>
                <w:lang w:bidi="ar-EG"/>
              </w:rPr>
            </w:pPr>
            <w:r w:rsidRPr="00AF2466">
              <w:rPr>
                <w:rFonts w:hint="cs"/>
                <w:b/>
                <w:bCs/>
                <w:rtl/>
                <w:lang w:bidi="ar-EG"/>
              </w:rPr>
              <w:t>الإعفاءات</w:t>
            </w:r>
          </w:p>
        </w:tc>
        <w:tc>
          <w:tcPr>
            <w:tcW w:w="5387" w:type="dxa"/>
          </w:tcPr>
          <w:p w:rsidR="0025579A" w:rsidRDefault="0025579A" w:rsidP="00434FCC">
            <w:pPr>
              <w:spacing w:after="120"/>
              <w:jc w:val="both"/>
              <w:rPr>
                <w:rFonts w:hint="cs"/>
                <w:rtl/>
                <w:lang w:bidi="ar-EG"/>
              </w:rPr>
            </w:pP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lang w:bidi="ar-EG"/>
              </w:rPr>
            </w:pPr>
            <w:r>
              <w:rPr>
                <w:lang w:bidi="ar-EG"/>
              </w:rPr>
              <w:t>UNEP/POPS/COP.4/7</w:t>
            </w:r>
            <w:r>
              <w:rPr>
                <w:rFonts w:hint="cs"/>
                <w:rtl/>
                <w:lang w:bidi="ar-EG"/>
              </w:rPr>
              <w:t xml:space="preserve"> و</w:t>
            </w:r>
            <w:r>
              <w:rPr>
                <w:lang w:bidi="ar-EG"/>
              </w:rPr>
              <w:t>Corr.1</w:t>
            </w:r>
          </w:p>
        </w:tc>
        <w:tc>
          <w:tcPr>
            <w:tcW w:w="5387" w:type="dxa"/>
          </w:tcPr>
          <w:p w:rsidR="0025579A" w:rsidRDefault="0025579A" w:rsidP="00434FCC">
            <w:pPr>
              <w:spacing w:after="120"/>
              <w:jc w:val="both"/>
              <w:rPr>
                <w:rFonts w:hint="cs"/>
                <w:rtl/>
                <w:lang w:bidi="ar-EG"/>
              </w:rPr>
            </w:pPr>
            <w:r>
              <w:rPr>
                <w:rFonts w:hint="cs"/>
                <w:rtl/>
                <w:lang w:bidi="ar-EG"/>
              </w:rPr>
              <w:t>طلبات التمديد في الإعفاءات المحدَّدة على أساس قيود سجل الإعفاءات المحدَّدة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UNEP/POPS/COP.4/INF/4</w:t>
            </w:r>
          </w:p>
        </w:tc>
        <w:tc>
          <w:tcPr>
            <w:tcW w:w="5387" w:type="dxa"/>
          </w:tcPr>
          <w:p w:rsidR="0025579A" w:rsidRDefault="0025579A" w:rsidP="00434FCC">
            <w:pPr>
              <w:spacing w:after="120"/>
              <w:jc w:val="both"/>
              <w:rPr>
                <w:rFonts w:hint="cs"/>
                <w:rtl/>
                <w:lang w:bidi="ar-EG"/>
              </w:rPr>
            </w:pPr>
            <w:r>
              <w:rPr>
                <w:rFonts w:hint="cs"/>
                <w:rtl/>
                <w:lang w:bidi="ar-EG"/>
              </w:rPr>
              <w:t>معلومات مقدَّمة من حكومة الصين بشأن إعفاءات محدَّدة تتمتع بها وفقاً للمادة 4 والمرفق ألف والمرفق باء لاتفاقية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UNEP/POPS/COP.4/INF/4/Add.1</w:t>
            </w:r>
          </w:p>
        </w:tc>
        <w:tc>
          <w:tcPr>
            <w:tcW w:w="5387" w:type="dxa"/>
          </w:tcPr>
          <w:p w:rsidR="0025579A" w:rsidRDefault="0025579A" w:rsidP="00434FCC">
            <w:pPr>
              <w:spacing w:after="120"/>
              <w:jc w:val="both"/>
              <w:rPr>
                <w:rFonts w:hint="cs"/>
                <w:rtl/>
                <w:lang w:bidi="ar-EG"/>
              </w:rPr>
            </w:pPr>
            <w:r>
              <w:rPr>
                <w:rFonts w:hint="cs"/>
                <w:rtl/>
                <w:lang w:bidi="ar-EG"/>
              </w:rPr>
              <w:t>معلومات مقدَّمة من حكومة استراليا بشأن إعفاءات محدَّدة تتمتع بها وفقاً للمادة 4 والمرفق ألف والمرفق باء لاتفاقية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’3‘</w:t>
            </w:r>
          </w:p>
        </w:tc>
        <w:tc>
          <w:tcPr>
            <w:tcW w:w="8395" w:type="dxa"/>
            <w:gridSpan w:val="2"/>
          </w:tcPr>
          <w:p w:rsidR="0025579A" w:rsidRPr="00365598" w:rsidRDefault="0025579A" w:rsidP="00434FCC">
            <w:pPr>
              <w:spacing w:after="120"/>
              <w:jc w:val="both"/>
              <w:rPr>
                <w:rFonts w:hint="cs"/>
                <w:rtl/>
                <w:lang w:bidi="ar-EG"/>
              </w:rPr>
            </w:pPr>
            <w:r w:rsidRPr="00AF2466">
              <w:rPr>
                <w:rFonts w:hint="cs"/>
                <w:b/>
                <w:bCs/>
                <w:rtl/>
                <w:lang w:bidi="ar-EG"/>
              </w:rPr>
              <w:t>تقييم استمرار الحاجة للإجراء الوارد تحت أحكام الفقرة 2 (ب) من المادة 3</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UNEP/POPS/COP.4/8</w:t>
            </w:r>
          </w:p>
        </w:tc>
        <w:tc>
          <w:tcPr>
            <w:tcW w:w="5387" w:type="dxa"/>
          </w:tcPr>
          <w:p w:rsidR="0025579A" w:rsidRDefault="0025579A" w:rsidP="00434FCC">
            <w:pPr>
              <w:spacing w:after="120"/>
              <w:jc w:val="both"/>
              <w:rPr>
                <w:rFonts w:hint="cs"/>
                <w:rtl/>
                <w:lang w:bidi="ar-EG"/>
              </w:rPr>
            </w:pPr>
            <w:r>
              <w:rPr>
                <w:rFonts w:hint="cs"/>
                <w:rtl/>
                <w:lang w:bidi="ar-EG"/>
              </w:rPr>
              <w:t>تقييم استمرار الحاجة إلى الإجراء الوارد في الفقرة 2 (ب) من المادة 3</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’4‘</w:t>
            </w:r>
          </w:p>
        </w:tc>
        <w:tc>
          <w:tcPr>
            <w:tcW w:w="3008" w:type="dxa"/>
          </w:tcPr>
          <w:p w:rsidR="0025579A" w:rsidRPr="00AF2466" w:rsidRDefault="0025579A" w:rsidP="00434FCC">
            <w:pPr>
              <w:jc w:val="both"/>
              <w:rPr>
                <w:rFonts w:hint="cs"/>
                <w:b/>
                <w:bCs/>
                <w:lang w:bidi="ar-EG"/>
              </w:rPr>
            </w:pPr>
            <w:r w:rsidRPr="00AF2466">
              <w:rPr>
                <w:rFonts w:hint="cs"/>
                <w:b/>
                <w:bCs/>
                <w:rtl/>
                <w:lang w:bidi="ar-EG"/>
              </w:rPr>
              <w:t>ثنائي الفينيل متعدد الكلور</w:t>
            </w:r>
          </w:p>
        </w:tc>
        <w:tc>
          <w:tcPr>
            <w:tcW w:w="5387" w:type="dxa"/>
          </w:tcPr>
          <w:p w:rsidR="0025579A" w:rsidRPr="00365598" w:rsidRDefault="0025579A" w:rsidP="00434FCC">
            <w:pPr>
              <w:spacing w:after="120"/>
              <w:jc w:val="both"/>
              <w:rPr>
                <w:rFonts w:hint="cs"/>
                <w:rtl/>
                <w:lang w:bidi="ar-EG"/>
              </w:rPr>
            </w:pP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UNEP/POPS/COP.4/9</w:t>
            </w:r>
          </w:p>
        </w:tc>
        <w:tc>
          <w:tcPr>
            <w:tcW w:w="5387" w:type="dxa"/>
          </w:tcPr>
          <w:p w:rsidR="0025579A" w:rsidRDefault="0025579A" w:rsidP="00434FCC">
            <w:pPr>
              <w:spacing w:after="120"/>
              <w:jc w:val="both"/>
              <w:rPr>
                <w:rFonts w:hint="cs"/>
                <w:rtl/>
                <w:lang w:bidi="ar-EG"/>
              </w:rPr>
            </w:pPr>
            <w:r>
              <w:rPr>
                <w:rFonts w:hint="cs"/>
                <w:rtl/>
                <w:lang w:bidi="ar-EG"/>
              </w:rPr>
              <w:t>الشروع في إطار للتعاون لدعم الأطراف في القضاء على ثنائي الفينيل المتعدد الكلور من خلال الإدارة السليمة بيئياً والتخلص منه</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(ب)</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تدابير لخفض الاطلاقات من الإنتاج غير المقصود أو القضاء عليها</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’1‘</w:t>
            </w:r>
          </w:p>
        </w:tc>
        <w:tc>
          <w:tcPr>
            <w:tcW w:w="8395" w:type="dxa"/>
            <w:gridSpan w:val="2"/>
          </w:tcPr>
          <w:p w:rsidR="0025579A" w:rsidRPr="007C538D" w:rsidRDefault="0025579A" w:rsidP="00434FCC">
            <w:pPr>
              <w:spacing w:after="120"/>
              <w:jc w:val="both"/>
              <w:rPr>
                <w:rFonts w:hint="cs"/>
                <w:rtl/>
                <w:lang w:bidi="ar-EG"/>
              </w:rPr>
            </w:pPr>
            <w:r w:rsidRPr="00AF2466">
              <w:rPr>
                <w:rFonts w:hint="cs"/>
                <w:b/>
                <w:bCs/>
                <w:rtl/>
                <w:lang w:bidi="ar-EG"/>
              </w:rPr>
              <w:t>أفضل التقنيات المتاحة وأفضل الممارسات البيئية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UNEP/POPS/COP.4/10</w:t>
            </w:r>
          </w:p>
        </w:tc>
        <w:tc>
          <w:tcPr>
            <w:tcW w:w="5387" w:type="dxa"/>
          </w:tcPr>
          <w:p w:rsidR="0025579A" w:rsidRDefault="0025579A" w:rsidP="00434FCC">
            <w:pPr>
              <w:spacing w:after="120"/>
              <w:jc w:val="both"/>
              <w:rPr>
                <w:rFonts w:hint="cs"/>
                <w:rtl/>
                <w:lang w:bidi="ar-EG"/>
              </w:rPr>
            </w:pPr>
            <w:r>
              <w:rPr>
                <w:rFonts w:hint="cs"/>
                <w:rtl/>
                <w:lang w:bidi="ar-EG"/>
              </w:rPr>
              <w:t>المبادئ التوجيهية بشأن أفضل التقنيات المتاحة والتوجيهات المؤقتة بشأن أفضل الممارسات البيئية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UNEP/POPS/COP.4/INF/7</w:t>
            </w:r>
          </w:p>
        </w:tc>
        <w:tc>
          <w:tcPr>
            <w:tcW w:w="5387" w:type="dxa"/>
          </w:tcPr>
          <w:p w:rsidR="0025579A" w:rsidRPr="002B1F4B" w:rsidRDefault="0025579A" w:rsidP="00434FCC">
            <w:pPr>
              <w:spacing w:after="120"/>
              <w:jc w:val="both"/>
              <w:rPr>
                <w:rFonts w:hint="cs"/>
                <w:rtl/>
                <w:lang w:bidi="ar-EG"/>
              </w:rPr>
            </w:pPr>
            <w:r>
              <w:rPr>
                <w:rFonts w:hint="cs"/>
                <w:rtl/>
                <w:lang w:bidi="ar-EG"/>
              </w:rPr>
              <w:t>تجميع التعليقات المقدَّمة من الأطراف فيما يتعلق بتجاربهم في تنفيذ المبادئ التوجيهية والتوجيهات بشأن الممارسات البيئية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UNEP/POPS/COP.4/INF/30</w:t>
            </w:r>
          </w:p>
        </w:tc>
        <w:tc>
          <w:tcPr>
            <w:tcW w:w="5387" w:type="dxa"/>
          </w:tcPr>
          <w:p w:rsidR="0025579A" w:rsidRPr="002B1F4B" w:rsidRDefault="0025579A" w:rsidP="00434FCC">
            <w:pPr>
              <w:spacing w:after="120"/>
              <w:jc w:val="both"/>
              <w:rPr>
                <w:rFonts w:hint="cs"/>
                <w:rtl/>
                <w:lang w:bidi="ar-EG"/>
              </w:rPr>
            </w:pPr>
            <w:r>
              <w:rPr>
                <w:rFonts w:hint="cs"/>
                <w:rtl/>
                <w:lang w:bidi="ar-EG"/>
              </w:rPr>
              <w:t>مذكرة مقدَّمة من أمانة اتفاقية بازل</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’2‘</w:t>
            </w:r>
          </w:p>
        </w:tc>
        <w:tc>
          <w:tcPr>
            <w:tcW w:w="8395" w:type="dxa"/>
            <w:gridSpan w:val="2"/>
          </w:tcPr>
          <w:p w:rsidR="0025579A" w:rsidRPr="002B1F4B" w:rsidRDefault="0025579A" w:rsidP="00434FCC">
            <w:pPr>
              <w:spacing w:after="120"/>
              <w:jc w:val="both"/>
              <w:rPr>
                <w:rFonts w:hint="cs"/>
                <w:rtl/>
                <w:lang w:bidi="ar-EG"/>
              </w:rPr>
            </w:pPr>
            <w:r w:rsidRPr="00AF2466">
              <w:rPr>
                <w:rFonts w:hint="cs"/>
                <w:b/>
                <w:bCs/>
                <w:rtl/>
                <w:lang w:bidi="ar-EG"/>
              </w:rPr>
              <w:t>تحديد وتقدير حجم الإطلاقات وكمياتها</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UNEP/POPS/COP.4/11</w:t>
            </w:r>
          </w:p>
        </w:tc>
        <w:tc>
          <w:tcPr>
            <w:tcW w:w="5387" w:type="dxa"/>
          </w:tcPr>
          <w:p w:rsidR="0025579A" w:rsidRDefault="0025579A" w:rsidP="00434FCC">
            <w:pPr>
              <w:spacing w:after="120"/>
              <w:jc w:val="both"/>
              <w:rPr>
                <w:rFonts w:hint="cs"/>
                <w:rtl/>
                <w:lang w:bidi="ar-EG"/>
              </w:rPr>
            </w:pPr>
            <w:r>
              <w:rPr>
                <w:rFonts w:hint="cs"/>
                <w:rtl/>
                <w:lang w:bidi="ar-EG"/>
              </w:rPr>
              <w:t>استمرار الاستعراض والتحديث لمجموعة الأدوات الموحَّدة لتحديد وتقدير حجم الإطلاقات من الديوكسينات والفيورانات</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Fonts w:hint="cs"/>
                <w:rtl/>
                <w:lang w:bidi="ar-EG"/>
              </w:rPr>
            </w:pPr>
            <w:r>
              <w:rPr>
                <w:lang w:bidi="ar-EG"/>
              </w:rPr>
              <w:t>UNEP/POPS/COP.4/INF/5</w:t>
            </w:r>
          </w:p>
        </w:tc>
        <w:tc>
          <w:tcPr>
            <w:tcW w:w="5387" w:type="dxa"/>
          </w:tcPr>
          <w:p w:rsidR="0025579A" w:rsidRPr="004712EB" w:rsidRDefault="0025579A" w:rsidP="00434FCC">
            <w:pPr>
              <w:spacing w:after="120"/>
              <w:jc w:val="both"/>
              <w:rPr>
                <w:rFonts w:hint="cs"/>
                <w:rtl/>
                <w:lang w:bidi="ar-EG"/>
              </w:rPr>
            </w:pPr>
            <w:r>
              <w:rPr>
                <w:rFonts w:hint="cs"/>
                <w:rtl/>
                <w:lang w:bidi="ar-EG"/>
              </w:rPr>
              <w:t>اجتماعات الخبراء لمواصلة صياغة مجموعة أدوات موحَّدة لتحديد وتقدير حجم الإطلاقات من الديوكسينات والفيورانات</w:t>
            </w:r>
          </w:p>
        </w:tc>
      </w:tr>
      <w:tr w:rsidR="0025579A" w:rsidRPr="00AF2466"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(ج)</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تدابير لخفض الإطلاقات من النفايات أو القضاء عليها</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lang w:bidi="ar-EG"/>
              </w:rPr>
            </w:pPr>
            <w:r>
              <w:rPr>
                <w:lang w:bidi="ar-EG"/>
              </w:rPr>
              <w:t>UNEP/POPS/COP.4/12</w:t>
            </w:r>
          </w:p>
        </w:tc>
        <w:tc>
          <w:tcPr>
            <w:tcW w:w="5387" w:type="dxa"/>
          </w:tcPr>
          <w:p w:rsidR="0025579A" w:rsidRPr="009F1FC9" w:rsidRDefault="0025579A" w:rsidP="00434FCC">
            <w:pPr>
              <w:spacing w:after="120"/>
              <w:jc w:val="both"/>
              <w:rPr>
                <w:rFonts w:hint="cs"/>
                <w:rtl/>
                <w:lang w:bidi="ar-EG"/>
              </w:rPr>
            </w:pPr>
            <w:r>
              <w:rPr>
                <w:rFonts w:hint="cs"/>
                <w:rtl/>
                <w:lang w:bidi="ar-EG"/>
              </w:rPr>
              <w:t>تقرير الأمانة عن الدعم المقدَّم للأطراف بشأن المبادئ التوجيهية المتصلة بنفايات الملوثات العضوية الثابتة التي اعتمدها مؤتمر الأطراف في اتفاقية بازل</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UNEP/POPS/COP.4/INF/30</w:t>
            </w:r>
          </w:p>
        </w:tc>
        <w:tc>
          <w:tcPr>
            <w:tcW w:w="5387" w:type="dxa"/>
          </w:tcPr>
          <w:p w:rsidR="0025579A" w:rsidRPr="009F1FC9" w:rsidRDefault="0025579A" w:rsidP="00434FCC">
            <w:pPr>
              <w:spacing w:after="120"/>
              <w:jc w:val="both"/>
              <w:rPr>
                <w:rFonts w:hint="cs"/>
                <w:rtl/>
                <w:lang w:bidi="ar-EG"/>
              </w:rPr>
            </w:pPr>
            <w:r>
              <w:rPr>
                <w:rFonts w:hint="cs"/>
                <w:rtl/>
                <w:lang w:bidi="ar-EG"/>
              </w:rPr>
              <w:t>مذكرة مقدَّمة من أمانة اتفاقية بازل</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lastRenderedPageBreak/>
              <w:t>(د)</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خطط التنفيذ</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UNEP/POPS/COP.4/13</w:t>
            </w:r>
          </w:p>
        </w:tc>
        <w:tc>
          <w:tcPr>
            <w:tcW w:w="5387" w:type="dxa"/>
          </w:tcPr>
          <w:p w:rsidR="0025579A" w:rsidRPr="0044710C" w:rsidRDefault="0025579A" w:rsidP="00434FCC">
            <w:pPr>
              <w:spacing w:after="120"/>
              <w:jc w:val="both"/>
              <w:rPr>
                <w:rFonts w:hint="cs"/>
                <w:rtl/>
                <w:lang w:bidi="ar-EG"/>
              </w:rPr>
            </w:pPr>
            <w:r>
              <w:rPr>
                <w:rFonts w:hint="cs"/>
                <w:rtl/>
                <w:lang w:bidi="ar-EG"/>
              </w:rPr>
              <w:t>تقرير بشأن الأولويات التي عيَّنتها الأطراف في خطط التنفيذ المحالة إلى مؤتمر الأطراف عملاً بالمادة 7 من الاتفاقية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UNEP/POPS/COP.4/14</w:t>
            </w:r>
          </w:p>
        </w:tc>
        <w:tc>
          <w:tcPr>
            <w:tcW w:w="5387" w:type="dxa"/>
          </w:tcPr>
          <w:p w:rsidR="0025579A" w:rsidRPr="0044710C" w:rsidRDefault="0025579A" w:rsidP="00434FCC">
            <w:pPr>
              <w:spacing w:after="120"/>
              <w:jc w:val="both"/>
              <w:rPr>
                <w:rFonts w:hint="cs"/>
                <w:rtl/>
                <w:lang w:bidi="ar-EG"/>
              </w:rPr>
            </w:pPr>
            <w:r>
              <w:rPr>
                <w:rFonts w:hint="cs"/>
                <w:rtl/>
                <w:lang w:bidi="ar-EG"/>
              </w:rPr>
              <w:t>خطط التنفيذ عملاً بالمادة 7 من 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UNEP/POPS/COP.4/INF/10</w:t>
            </w:r>
          </w:p>
        </w:tc>
        <w:tc>
          <w:tcPr>
            <w:tcW w:w="5387" w:type="dxa"/>
          </w:tcPr>
          <w:p w:rsidR="0025579A" w:rsidRPr="00BD2CEC" w:rsidRDefault="0025579A" w:rsidP="00434FCC">
            <w:pPr>
              <w:spacing w:after="120"/>
              <w:jc w:val="both"/>
              <w:rPr>
                <w:rFonts w:hint="cs"/>
                <w:rtl/>
                <w:lang w:bidi="ar-EG"/>
              </w:rPr>
            </w:pPr>
            <w:r>
              <w:rPr>
                <w:rFonts w:hint="cs"/>
                <w:rtl/>
                <w:lang w:bidi="ar-EG"/>
              </w:rPr>
              <w:t>تجميع المذكرات الواردة إلى الأمانة بشأن الإشارات إلى الأولويات الرئيسية في تنفيذ خطط التنفيذ الوطنية للفترة 2007- 2015 بموجب 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UNEP/POPS/COP.4/INF/11</w:t>
            </w:r>
          </w:p>
        </w:tc>
        <w:tc>
          <w:tcPr>
            <w:tcW w:w="5387" w:type="dxa"/>
          </w:tcPr>
          <w:p w:rsidR="0025579A" w:rsidRPr="00BD2CEC" w:rsidRDefault="0025579A" w:rsidP="00434FCC">
            <w:pPr>
              <w:spacing w:after="120"/>
              <w:jc w:val="both"/>
              <w:rPr>
                <w:rFonts w:hint="cs"/>
                <w:rtl/>
                <w:lang w:bidi="ar-EG"/>
              </w:rPr>
            </w:pPr>
            <w:r>
              <w:rPr>
                <w:rFonts w:hint="cs"/>
                <w:rtl/>
                <w:lang w:bidi="ar-EG"/>
              </w:rPr>
              <w:t>مشروع التوجيه الإضافي بشأن حساب تكاليف خطط العمل بما في ذلك التكاليف الزائدة وخطط العمل لملوثات عضوية ثابتة محدَّدة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UNEP/POPS/COP.4/INF/25</w:t>
            </w:r>
          </w:p>
        </w:tc>
        <w:tc>
          <w:tcPr>
            <w:tcW w:w="5387" w:type="dxa"/>
          </w:tcPr>
          <w:p w:rsidR="0025579A" w:rsidRPr="00BD2CEC" w:rsidRDefault="0025579A" w:rsidP="00434FCC">
            <w:pPr>
              <w:spacing w:after="120"/>
              <w:jc w:val="both"/>
              <w:rPr>
                <w:rFonts w:hint="cs"/>
                <w:rtl/>
                <w:lang w:bidi="ar-EG"/>
              </w:rPr>
            </w:pPr>
            <w:r>
              <w:rPr>
                <w:rFonts w:hint="cs"/>
                <w:rtl/>
                <w:lang w:bidi="ar-EG"/>
              </w:rPr>
              <w:t>خطط التنفيذ المحالة إلى مؤتمر الأطراف</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UNEP/POPS/COP.4/INF/26</w:t>
            </w:r>
          </w:p>
        </w:tc>
        <w:tc>
          <w:tcPr>
            <w:tcW w:w="5387" w:type="dxa"/>
          </w:tcPr>
          <w:p w:rsidR="0025579A" w:rsidRPr="00BD2CEC" w:rsidRDefault="0025579A" w:rsidP="00434FCC">
            <w:pPr>
              <w:spacing w:after="120"/>
              <w:jc w:val="both"/>
              <w:rPr>
                <w:rFonts w:hint="cs"/>
                <w:rtl/>
                <w:lang w:bidi="ar-EG"/>
              </w:rPr>
            </w:pPr>
            <w:r>
              <w:rPr>
                <w:rFonts w:hint="cs"/>
                <w:rtl/>
                <w:lang w:bidi="ar-EG"/>
              </w:rPr>
              <w:t>تجميع التعليقات المقدَّمة إلى الأمانة بشأن مشروع التوجيه الخاص بالتقييم الاجتماعي والاقتصادي لصياغة خطط التنفيذ</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w:t>
            </w:r>
            <w:r w:rsidRPr="00AF2466">
              <w:rPr>
                <w:b/>
                <w:bCs/>
                <w:sz w:val="30"/>
                <w:rtl/>
              </w:rPr>
              <w:t>ﻫ</w:t>
            </w:r>
            <w:r w:rsidRPr="00AF2466">
              <w:rPr>
                <w:rFonts w:hint="cs"/>
                <w:b/>
                <w:bCs/>
                <w:rtl/>
                <w:lang w:bidi="ar-EG"/>
              </w:rPr>
              <w:t>)</w:t>
            </w:r>
          </w:p>
        </w:tc>
        <w:tc>
          <w:tcPr>
            <w:tcW w:w="8395" w:type="dxa"/>
            <w:gridSpan w:val="2"/>
          </w:tcPr>
          <w:p w:rsidR="0025579A" w:rsidRPr="00BD2CEC" w:rsidRDefault="0025579A" w:rsidP="00434FCC">
            <w:pPr>
              <w:spacing w:after="120"/>
              <w:jc w:val="both"/>
              <w:rPr>
                <w:rFonts w:hint="cs"/>
                <w:rtl/>
                <w:lang w:bidi="ar-EG"/>
              </w:rPr>
            </w:pPr>
            <w:r w:rsidRPr="00AF2466">
              <w:rPr>
                <w:rFonts w:hint="cs"/>
                <w:b/>
                <w:bCs/>
                <w:rtl/>
                <w:lang w:bidi="ar-EG"/>
              </w:rPr>
              <w:t>إدراج المواد الكيميائية في المرفقات ألف أو باء أو جيم من الاتفاقية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UNEP/POPS/COP.4/16</w:t>
            </w:r>
          </w:p>
        </w:tc>
        <w:tc>
          <w:tcPr>
            <w:tcW w:w="5387" w:type="dxa"/>
          </w:tcPr>
          <w:p w:rsidR="0025579A" w:rsidRPr="00E2486A" w:rsidRDefault="0025579A" w:rsidP="00434FCC">
            <w:pPr>
              <w:spacing w:after="120"/>
              <w:jc w:val="both"/>
              <w:rPr>
                <w:rFonts w:hint="cs"/>
                <w:rtl/>
                <w:lang w:bidi="ar-EG"/>
              </w:rPr>
            </w:pPr>
            <w:r>
              <w:rPr>
                <w:rFonts w:hint="cs"/>
                <w:rtl/>
                <w:lang w:bidi="ar-EG"/>
              </w:rPr>
              <w:t>لجنة استعراض الملوثات العضوية الثابتة: التطورات ذات الصلة التي تتطلَّب اتخاذ إجراء من جانب مؤتمر الأطراف</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UNEP/POPS/COP.4/17</w:t>
            </w:r>
          </w:p>
        </w:tc>
        <w:tc>
          <w:tcPr>
            <w:tcW w:w="5387" w:type="dxa"/>
          </w:tcPr>
          <w:p w:rsidR="0025579A" w:rsidRPr="0091568E" w:rsidRDefault="0025579A" w:rsidP="00434FCC">
            <w:pPr>
              <w:spacing w:after="120"/>
              <w:jc w:val="both"/>
              <w:rPr>
                <w:rFonts w:hint="cs"/>
                <w:rtl/>
                <w:lang w:bidi="ar-EG"/>
              </w:rPr>
            </w:pPr>
            <w:r>
              <w:rPr>
                <w:rFonts w:hint="cs"/>
                <w:rtl/>
                <w:lang w:bidi="ar-EG"/>
              </w:rPr>
              <w:t>توصيات لجنة استعراض الملوثات العضوية الثابتة التابعة لاتفاقية استكهولم بتعديل المرفقات ألف أو باء أو جيم من الاتفاقية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UNEP/POPS/COP.4/18</w:t>
            </w:r>
          </w:p>
        </w:tc>
        <w:tc>
          <w:tcPr>
            <w:tcW w:w="5387" w:type="dxa"/>
          </w:tcPr>
          <w:p w:rsidR="0025579A" w:rsidRPr="0091568E" w:rsidRDefault="0025579A" w:rsidP="00434FCC">
            <w:pPr>
              <w:spacing w:after="120"/>
              <w:jc w:val="both"/>
              <w:rPr>
                <w:rFonts w:hint="cs"/>
                <w:rtl/>
                <w:lang w:bidi="ar-EG"/>
              </w:rPr>
            </w:pPr>
            <w:r>
              <w:rPr>
                <w:rFonts w:hint="cs"/>
                <w:rtl/>
                <w:lang w:bidi="ar-EG"/>
              </w:rPr>
              <w:t>مشروع نص التعديلات على المرفقات ألف و/أو باء و/أو جيم لاتفاقية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UNEP/POPS/COP.4/INF/8</w:t>
            </w:r>
          </w:p>
        </w:tc>
        <w:tc>
          <w:tcPr>
            <w:tcW w:w="5387" w:type="dxa"/>
          </w:tcPr>
          <w:p w:rsidR="0025579A" w:rsidRPr="0091568E" w:rsidRDefault="0025579A" w:rsidP="00434FCC">
            <w:pPr>
              <w:spacing w:after="120"/>
              <w:jc w:val="both"/>
              <w:rPr>
                <w:rFonts w:hint="cs"/>
                <w:rtl/>
                <w:lang w:bidi="ar-EG"/>
              </w:rPr>
            </w:pPr>
            <w:r>
              <w:rPr>
                <w:rFonts w:hint="cs"/>
                <w:rtl/>
                <w:lang w:bidi="ar-EG"/>
              </w:rPr>
              <w:t>ملخص حلقات العمل بشأن المشاركة الفعَّالة في لجنة استعراض الملوثات العضوية الثابتة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UNEP/POPS/COP.4/INF/9</w:t>
            </w:r>
          </w:p>
        </w:tc>
        <w:tc>
          <w:tcPr>
            <w:tcW w:w="5387" w:type="dxa"/>
          </w:tcPr>
          <w:p w:rsidR="0025579A" w:rsidRPr="008662E9" w:rsidRDefault="0025579A" w:rsidP="00434FCC">
            <w:pPr>
              <w:spacing w:after="120"/>
              <w:jc w:val="both"/>
              <w:rPr>
                <w:rFonts w:hint="cs"/>
                <w:rtl/>
                <w:lang w:bidi="ar-EG"/>
              </w:rPr>
            </w:pPr>
            <w:r>
              <w:rPr>
                <w:rFonts w:hint="cs"/>
                <w:rtl/>
                <w:lang w:bidi="ar-EG"/>
              </w:rPr>
              <w:t>دليل المشاركة الفعَّالة في أعمال لجنة استعراض الملوثات العضوية الثابتة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UNEP/POPS/COP.4/INF/12</w:t>
            </w:r>
          </w:p>
        </w:tc>
        <w:tc>
          <w:tcPr>
            <w:tcW w:w="5387" w:type="dxa"/>
          </w:tcPr>
          <w:p w:rsidR="0025579A" w:rsidRPr="008662E9" w:rsidRDefault="0025579A" w:rsidP="00434FCC">
            <w:pPr>
              <w:spacing w:after="120"/>
              <w:jc w:val="both"/>
              <w:rPr>
                <w:rFonts w:hint="cs"/>
                <w:rtl/>
                <w:lang w:bidi="ar-EG"/>
              </w:rPr>
            </w:pPr>
            <w:r>
              <w:rPr>
                <w:rFonts w:hint="cs"/>
                <w:rtl/>
                <w:lang w:bidi="ar-EG"/>
              </w:rPr>
              <w:t>مذكرات من الأطراف لينظر فيها مؤتمر الأطراف بشأن توصيات لجنة استعراض الملوثات العضوية الثابتة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UNEP/POPS/COP.4/INF/24</w:t>
            </w:r>
          </w:p>
        </w:tc>
        <w:tc>
          <w:tcPr>
            <w:tcW w:w="5387" w:type="dxa"/>
          </w:tcPr>
          <w:p w:rsidR="0025579A" w:rsidRPr="008662E9" w:rsidRDefault="0025579A" w:rsidP="00434FCC">
            <w:pPr>
              <w:jc w:val="both"/>
              <w:rPr>
                <w:rFonts w:hint="cs"/>
                <w:rtl/>
                <w:lang w:bidi="ar-EG"/>
              </w:rPr>
            </w:pPr>
            <w:r>
              <w:rPr>
                <w:rFonts w:hint="cs"/>
                <w:rtl/>
                <w:lang w:bidi="ar-EG"/>
              </w:rPr>
              <w:t>توجيه بشأن بدائل تثبيط اللهب عن إيثير خماسي البروم ثنائي الفينيل</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(و)</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تبادل المعلومات</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UNEP/POPS/COP.4/19</w:t>
            </w:r>
          </w:p>
        </w:tc>
        <w:tc>
          <w:tcPr>
            <w:tcW w:w="5387" w:type="dxa"/>
          </w:tcPr>
          <w:p w:rsidR="0025579A" w:rsidRPr="008662E9" w:rsidRDefault="0025579A" w:rsidP="00434FCC">
            <w:pPr>
              <w:spacing w:after="120"/>
              <w:jc w:val="both"/>
              <w:rPr>
                <w:rFonts w:hint="cs"/>
                <w:rtl/>
                <w:lang w:bidi="ar-EG"/>
              </w:rPr>
            </w:pPr>
            <w:r>
              <w:rPr>
                <w:rFonts w:hint="cs"/>
                <w:rtl/>
                <w:lang w:bidi="ar-EG"/>
              </w:rPr>
              <w:t>آلية تبادل المعلومات بشأن الملوثات العضوية الثابتة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UNEP/POPS/COP.4/20</w:t>
            </w:r>
          </w:p>
        </w:tc>
        <w:tc>
          <w:tcPr>
            <w:tcW w:w="5387" w:type="dxa"/>
          </w:tcPr>
          <w:p w:rsidR="0025579A" w:rsidRPr="008662E9" w:rsidRDefault="0025579A" w:rsidP="00434FCC">
            <w:pPr>
              <w:jc w:val="both"/>
              <w:rPr>
                <w:rFonts w:hint="cs"/>
                <w:rtl/>
                <w:lang w:bidi="ar-EG"/>
              </w:rPr>
            </w:pPr>
            <w:r>
              <w:rPr>
                <w:rFonts w:hint="cs"/>
                <w:rtl/>
                <w:lang w:bidi="ar-EG"/>
              </w:rPr>
              <w:t>مقترح الأمانة بشأن الدور المحتمل لآلية تبادل المعلومات على المستويين الوطني والإقليمي</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lastRenderedPageBreak/>
              <w:t>(ز)</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المساعدة التقنية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UNEP/POPS/COP.4/21</w:t>
            </w:r>
          </w:p>
        </w:tc>
        <w:tc>
          <w:tcPr>
            <w:tcW w:w="5387" w:type="dxa"/>
          </w:tcPr>
          <w:p w:rsidR="0025579A" w:rsidRPr="008662E9" w:rsidRDefault="0025579A" w:rsidP="00434FCC">
            <w:pPr>
              <w:spacing w:after="120"/>
              <w:jc w:val="both"/>
              <w:rPr>
                <w:rFonts w:hint="cs"/>
                <w:rtl/>
                <w:lang w:bidi="ar-EG"/>
              </w:rPr>
            </w:pPr>
            <w:r>
              <w:rPr>
                <w:rFonts w:hint="cs"/>
                <w:rtl/>
                <w:lang w:bidi="ar-EG"/>
              </w:rPr>
              <w:t>توجيه بشأن المساعدة التقنية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UNEP/POPS/COP.4/22</w:t>
            </w:r>
          </w:p>
        </w:tc>
        <w:tc>
          <w:tcPr>
            <w:tcW w:w="5387" w:type="dxa"/>
          </w:tcPr>
          <w:p w:rsidR="0025579A" w:rsidRPr="008662E9" w:rsidRDefault="0025579A" w:rsidP="00434FCC">
            <w:pPr>
              <w:spacing w:after="120"/>
              <w:jc w:val="both"/>
              <w:rPr>
                <w:rFonts w:hint="cs"/>
                <w:rtl/>
                <w:lang w:bidi="ar-EG"/>
              </w:rPr>
            </w:pPr>
            <w:r>
              <w:rPr>
                <w:rFonts w:hint="cs"/>
                <w:rtl/>
                <w:lang w:bidi="ar-EG"/>
              </w:rPr>
              <w:t>اختيار مراكز إقليمية ودون إقليمية لبناء القدرات ونقل التكنولوجيات السليمة بيئياً في إطار 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UNEP/POPS/COP.4/23</w:t>
            </w:r>
          </w:p>
        </w:tc>
        <w:tc>
          <w:tcPr>
            <w:tcW w:w="5387" w:type="dxa"/>
          </w:tcPr>
          <w:p w:rsidR="0025579A" w:rsidRPr="00AD3C80" w:rsidRDefault="0025579A" w:rsidP="00434FCC">
            <w:pPr>
              <w:spacing w:after="120"/>
              <w:jc w:val="both"/>
              <w:rPr>
                <w:rFonts w:hint="cs"/>
                <w:rtl/>
                <w:lang w:bidi="ar-EG"/>
              </w:rPr>
            </w:pPr>
            <w:r>
              <w:rPr>
                <w:rFonts w:hint="cs"/>
                <w:rtl/>
                <w:lang w:bidi="ar-EG"/>
              </w:rPr>
              <w:t>تقرير عن أنشطة مراكز اتفاقية استكهولم المرشَّحة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UNEP/POPS/COP.4/INF/13</w:t>
            </w:r>
          </w:p>
        </w:tc>
        <w:tc>
          <w:tcPr>
            <w:tcW w:w="5387" w:type="dxa"/>
          </w:tcPr>
          <w:p w:rsidR="0025579A" w:rsidRPr="00EE2D86" w:rsidRDefault="0025579A" w:rsidP="00434FCC">
            <w:pPr>
              <w:spacing w:after="120"/>
              <w:jc w:val="both"/>
              <w:rPr>
                <w:rFonts w:hint="cs"/>
                <w:rtl/>
                <w:lang w:bidi="ar-EG"/>
              </w:rPr>
            </w:pPr>
            <w:r>
              <w:rPr>
                <w:rFonts w:hint="cs"/>
                <w:rtl/>
                <w:lang w:bidi="ar-EG"/>
              </w:rPr>
              <w:t>قائمة الأنشطة التي يتعيَّن أن تنظمها الأمانة لتسهيل تقديم المساعدة التقنية إلى الأطراف في الفترة 2009-2011</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UNEP/POPS/COP.4/INF/14</w:t>
            </w:r>
          </w:p>
        </w:tc>
        <w:tc>
          <w:tcPr>
            <w:tcW w:w="5387" w:type="dxa"/>
          </w:tcPr>
          <w:p w:rsidR="0025579A" w:rsidRPr="00EE2D86" w:rsidRDefault="0025579A" w:rsidP="00434FCC">
            <w:pPr>
              <w:spacing w:after="120"/>
              <w:jc w:val="both"/>
              <w:rPr>
                <w:rFonts w:hint="cs"/>
                <w:rtl/>
                <w:lang w:bidi="ar-EG"/>
              </w:rPr>
            </w:pPr>
            <w:r>
              <w:rPr>
                <w:rFonts w:hint="cs"/>
                <w:rtl/>
                <w:lang w:bidi="ar-EG"/>
              </w:rPr>
              <w:t>التقارير المقدَّمة من المراكز المعيَّنة بموجب 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(ح)</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الموارد المالية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UNEP/POPS/COP.4/24</w:t>
            </w:r>
          </w:p>
        </w:tc>
        <w:tc>
          <w:tcPr>
            <w:tcW w:w="5387" w:type="dxa"/>
          </w:tcPr>
          <w:p w:rsidR="0025579A" w:rsidRPr="008662E9" w:rsidRDefault="0025579A" w:rsidP="00434FCC">
            <w:pPr>
              <w:spacing w:after="120"/>
              <w:jc w:val="both"/>
              <w:rPr>
                <w:rFonts w:hint="cs"/>
                <w:rtl/>
                <w:lang w:bidi="ar-EG"/>
              </w:rPr>
            </w:pPr>
            <w:r>
              <w:rPr>
                <w:rFonts w:hint="cs"/>
                <w:rtl/>
                <w:lang w:bidi="ar-EG"/>
              </w:rPr>
              <w:t>تقرير عن فعالية تنفيذ مذكرة التفاهم بين مؤتمر الأطراف ومجلس مرفق البيئة العالمية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UNEP/POPS/COP.4/25</w:t>
            </w:r>
          </w:p>
        </w:tc>
        <w:tc>
          <w:tcPr>
            <w:tcW w:w="5387" w:type="dxa"/>
          </w:tcPr>
          <w:p w:rsidR="0025579A" w:rsidRPr="001A372C" w:rsidRDefault="0025579A" w:rsidP="00434FCC">
            <w:pPr>
              <w:spacing w:after="120"/>
              <w:jc w:val="both"/>
              <w:rPr>
                <w:rFonts w:hint="cs"/>
                <w:rtl/>
                <w:lang w:bidi="ar-EG"/>
              </w:rPr>
            </w:pPr>
            <w:r>
              <w:rPr>
                <w:rFonts w:hint="cs"/>
                <w:rtl/>
                <w:lang w:bidi="ar-EG"/>
              </w:rPr>
              <w:t>تقرير مرفق البيئة العالمية إلى الاجتماع الرابع لمؤتمر الأطراف في اتفاقية 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UNEP/POPS/COP.4/26</w:t>
            </w:r>
          </w:p>
        </w:tc>
        <w:tc>
          <w:tcPr>
            <w:tcW w:w="5387" w:type="dxa"/>
          </w:tcPr>
          <w:p w:rsidR="0025579A" w:rsidRPr="001A372C" w:rsidRDefault="0025579A" w:rsidP="00434FCC">
            <w:pPr>
              <w:spacing w:after="120"/>
              <w:jc w:val="both"/>
              <w:rPr>
                <w:rFonts w:hint="cs"/>
                <w:rtl/>
                <w:lang w:bidi="ar-EG"/>
              </w:rPr>
            </w:pPr>
            <w:r>
              <w:rPr>
                <w:rFonts w:hint="cs"/>
                <w:rtl/>
                <w:lang w:bidi="ar-EG"/>
              </w:rPr>
              <w:t>تعبئة الموارد</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UNEP/POPS/COP.4/27</w:t>
            </w:r>
          </w:p>
        </w:tc>
        <w:tc>
          <w:tcPr>
            <w:tcW w:w="5387" w:type="dxa"/>
          </w:tcPr>
          <w:p w:rsidR="0025579A" w:rsidRPr="008662E9" w:rsidRDefault="0025579A" w:rsidP="00434FCC">
            <w:pPr>
              <w:spacing w:after="120"/>
              <w:jc w:val="both"/>
              <w:rPr>
                <w:rFonts w:hint="cs"/>
                <w:rtl/>
                <w:lang w:bidi="ar-EG"/>
              </w:rPr>
            </w:pPr>
            <w:r>
              <w:rPr>
                <w:rFonts w:hint="cs"/>
                <w:rtl/>
                <w:lang w:bidi="ar-EG"/>
              </w:rPr>
              <w:t>تقرير عن تقييم الاحتياجات التمويلية للأطراف من البلدان النامية والبلدان التي تمر اقتصاداتها بمرحلة انتقال لتنفيذ أحكام الاتفاقية خلال الفترة 2010-2014</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UNEP/POPS/COP.4/28</w:t>
            </w:r>
          </w:p>
        </w:tc>
        <w:tc>
          <w:tcPr>
            <w:tcW w:w="5387" w:type="dxa"/>
          </w:tcPr>
          <w:p w:rsidR="0025579A" w:rsidRPr="001A372C" w:rsidRDefault="0025579A" w:rsidP="00434FCC">
            <w:pPr>
              <w:spacing w:after="120"/>
              <w:jc w:val="both"/>
              <w:rPr>
                <w:rFonts w:hint="cs"/>
                <w:rtl/>
                <w:lang w:bidi="ar-EG"/>
              </w:rPr>
            </w:pPr>
            <w:r>
              <w:rPr>
                <w:rFonts w:hint="cs"/>
                <w:rtl/>
                <w:lang w:bidi="ar-EG"/>
              </w:rPr>
              <w:t>الاستعراض الثاني للآلية المالية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UNEP/POPS/COP.4/INF/16</w:t>
            </w:r>
          </w:p>
        </w:tc>
        <w:tc>
          <w:tcPr>
            <w:tcW w:w="5387" w:type="dxa"/>
          </w:tcPr>
          <w:p w:rsidR="0025579A" w:rsidRPr="008662E9" w:rsidRDefault="0025579A" w:rsidP="00434FCC">
            <w:pPr>
              <w:spacing w:after="120"/>
              <w:jc w:val="both"/>
              <w:rPr>
                <w:rFonts w:hint="cs"/>
                <w:rtl/>
                <w:lang w:bidi="ar-EG"/>
              </w:rPr>
            </w:pPr>
            <w:r>
              <w:rPr>
                <w:rFonts w:hint="cs"/>
                <w:rtl/>
                <w:lang w:bidi="ar-EG"/>
              </w:rPr>
              <w:t>تجميع الورقات التي تلقتها الأمانة بشأن المعلومات ذات الصلة المطلوبة للاضطلاع بتقييم للاحتياجات المالية المطلوبة في المقرر</w:t>
            </w:r>
            <w:r>
              <w:rPr>
                <w:rtl/>
                <w:lang w:bidi="ar-EG"/>
              </w:rPr>
              <w:br/>
            </w:r>
            <w:r>
              <w:rPr>
                <w:rFonts w:hint="cs"/>
                <w:rtl/>
                <w:lang w:bidi="ar-EG"/>
              </w:rPr>
              <w:t>ا س - 3/15</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UNEP/POPS/COP.4/INF/17</w:t>
            </w:r>
          </w:p>
        </w:tc>
        <w:tc>
          <w:tcPr>
            <w:tcW w:w="5387" w:type="dxa"/>
          </w:tcPr>
          <w:p w:rsidR="0025579A" w:rsidRPr="001A372C" w:rsidRDefault="0025579A" w:rsidP="00434FCC">
            <w:pPr>
              <w:spacing w:after="120"/>
              <w:jc w:val="both"/>
              <w:rPr>
                <w:rFonts w:hint="cs"/>
                <w:rtl/>
                <w:lang w:bidi="ar-EG"/>
              </w:rPr>
            </w:pPr>
            <w:r>
              <w:rPr>
                <w:rFonts w:hint="cs"/>
                <w:rtl/>
                <w:lang w:bidi="ar-EG"/>
              </w:rPr>
              <w:t>مشروع تقرير عن الاستعراض الثاني للآلية المالية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UNEP/POPS/COP.4/INF/18</w:t>
            </w:r>
          </w:p>
        </w:tc>
        <w:tc>
          <w:tcPr>
            <w:tcW w:w="5387" w:type="dxa"/>
          </w:tcPr>
          <w:p w:rsidR="0025579A" w:rsidRPr="001A372C" w:rsidRDefault="0025579A" w:rsidP="00434FCC">
            <w:pPr>
              <w:spacing w:after="120"/>
              <w:jc w:val="both"/>
              <w:rPr>
                <w:rFonts w:hint="cs"/>
                <w:rtl/>
                <w:lang w:bidi="ar-EG"/>
              </w:rPr>
            </w:pPr>
            <w:r>
              <w:rPr>
                <w:rFonts w:hint="cs"/>
                <w:rtl/>
                <w:lang w:bidi="ar-EG"/>
              </w:rPr>
              <w:t>معلومات مقدَّمة من الأطراف وغير الأطراف فيما يتصل بالاستعراض الثاني للآلية المالية</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(ط)</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تقديم التقارير</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UNEP/POPS/COP.4/29</w:t>
            </w:r>
          </w:p>
        </w:tc>
        <w:tc>
          <w:tcPr>
            <w:tcW w:w="5387" w:type="dxa"/>
          </w:tcPr>
          <w:p w:rsidR="0025579A" w:rsidRPr="008662E9" w:rsidRDefault="0025579A" w:rsidP="00434FCC">
            <w:pPr>
              <w:spacing w:after="120"/>
              <w:jc w:val="both"/>
              <w:rPr>
                <w:rFonts w:hint="cs"/>
                <w:rtl/>
                <w:lang w:bidi="ar-EG"/>
              </w:rPr>
            </w:pPr>
            <w:r>
              <w:rPr>
                <w:rFonts w:hint="cs"/>
                <w:rtl/>
                <w:lang w:bidi="ar-EG"/>
              </w:rPr>
              <w:t>تقديم التقارير بموجب المادة 15 من الاتفاقية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UNEP/POPS/COP.4/INF/27</w:t>
            </w:r>
          </w:p>
        </w:tc>
        <w:tc>
          <w:tcPr>
            <w:tcW w:w="5387" w:type="dxa"/>
          </w:tcPr>
          <w:p w:rsidR="0025579A" w:rsidRPr="00B96E46" w:rsidRDefault="0025579A" w:rsidP="00434FCC">
            <w:pPr>
              <w:spacing w:after="120"/>
              <w:jc w:val="both"/>
              <w:rPr>
                <w:rFonts w:hint="cs"/>
                <w:rtl/>
                <w:lang w:bidi="ar-EG"/>
              </w:rPr>
            </w:pPr>
            <w:r>
              <w:rPr>
                <w:rFonts w:hint="cs"/>
                <w:rtl/>
                <w:lang w:bidi="ar-EG"/>
              </w:rPr>
              <w:t>المعلومات الواردة في التقارير المقدَّمة من الأطراف عملاً بالمادة 15 من الاتفاقية</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(ي)</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تقييم الفعالية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UNEP/POPS/COP.4/30</w:t>
            </w:r>
          </w:p>
        </w:tc>
        <w:tc>
          <w:tcPr>
            <w:tcW w:w="5387" w:type="dxa"/>
          </w:tcPr>
          <w:p w:rsidR="0025579A" w:rsidRPr="00B96E46" w:rsidRDefault="0025579A" w:rsidP="00434FCC">
            <w:pPr>
              <w:spacing w:after="120"/>
              <w:jc w:val="both"/>
              <w:rPr>
                <w:rFonts w:hint="cs"/>
                <w:rtl/>
                <w:lang w:bidi="ar-EG"/>
              </w:rPr>
            </w:pPr>
            <w:r>
              <w:rPr>
                <w:rFonts w:hint="cs"/>
                <w:rtl/>
                <w:lang w:bidi="ar-EG"/>
              </w:rPr>
              <w:t>تقييم الفعالية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UNEP/POPS/COP.4/31</w:t>
            </w:r>
          </w:p>
        </w:tc>
        <w:tc>
          <w:tcPr>
            <w:tcW w:w="5387" w:type="dxa"/>
          </w:tcPr>
          <w:p w:rsidR="0025579A" w:rsidRPr="00B96E46" w:rsidRDefault="0025579A" w:rsidP="00434FCC">
            <w:pPr>
              <w:spacing w:after="120"/>
              <w:jc w:val="both"/>
              <w:rPr>
                <w:rFonts w:hint="cs"/>
                <w:rtl/>
                <w:lang w:bidi="ar-EG"/>
              </w:rPr>
            </w:pPr>
            <w:r>
              <w:rPr>
                <w:rFonts w:hint="cs"/>
                <w:rtl/>
                <w:lang w:bidi="ar-EG"/>
              </w:rPr>
              <w:t>خطة الرصد العالمية لتقييم الفعالية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UNEP/POPS/COP.4/33</w:t>
            </w:r>
          </w:p>
        </w:tc>
        <w:tc>
          <w:tcPr>
            <w:tcW w:w="5387" w:type="dxa"/>
          </w:tcPr>
          <w:p w:rsidR="0025579A" w:rsidRPr="00B96E46" w:rsidRDefault="0025579A" w:rsidP="00434FCC">
            <w:pPr>
              <w:spacing w:after="120"/>
              <w:jc w:val="both"/>
              <w:rPr>
                <w:rFonts w:hint="cs"/>
                <w:rtl/>
                <w:lang w:bidi="ar-EG"/>
              </w:rPr>
            </w:pPr>
            <w:r>
              <w:rPr>
                <w:rFonts w:hint="cs"/>
                <w:rtl/>
                <w:lang w:bidi="ar-EG"/>
              </w:rPr>
              <w:t>تقرير الرصد العالمي بمقتضى خطة الرصد العالمية لتقييم الفعالية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UNEP/POPS/COP.4/INF/19</w:t>
            </w:r>
          </w:p>
        </w:tc>
        <w:tc>
          <w:tcPr>
            <w:tcW w:w="5387" w:type="dxa"/>
          </w:tcPr>
          <w:p w:rsidR="0025579A" w:rsidRPr="00B96E46" w:rsidRDefault="0025579A" w:rsidP="00434FCC">
            <w:pPr>
              <w:spacing w:after="120"/>
              <w:jc w:val="both"/>
              <w:rPr>
                <w:rFonts w:hint="cs"/>
                <w:rtl/>
                <w:lang w:bidi="ar-EG"/>
              </w:rPr>
            </w:pPr>
            <w:r>
              <w:rPr>
                <w:rFonts w:hint="cs"/>
                <w:rtl/>
                <w:lang w:bidi="ar-EG"/>
              </w:rPr>
              <w:t>تقارير الرصد الإقليمية بموجب خطة الرصد العالمية لتقييم الفعالية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UNEP/POPS/COP.4/INF/20</w:t>
            </w:r>
          </w:p>
        </w:tc>
        <w:tc>
          <w:tcPr>
            <w:tcW w:w="5387" w:type="dxa"/>
          </w:tcPr>
          <w:p w:rsidR="0025579A" w:rsidRPr="00B96E46" w:rsidRDefault="0025579A" w:rsidP="00434FCC">
            <w:pPr>
              <w:spacing w:after="120"/>
              <w:jc w:val="both"/>
              <w:rPr>
                <w:rFonts w:hint="cs"/>
                <w:rtl/>
                <w:lang w:bidi="ar-EG"/>
              </w:rPr>
            </w:pPr>
            <w:r>
              <w:rPr>
                <w:rFonts w:hint="cs"/>
                <w:rtl/>
                <w:lang w:bidi="ar-EG"/>
              </w:rPr>
              <w:t>تقرير اجتماع فريق تنسيق خطة الرصد العالمية للملوثات العضوية الثابتة</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UNEP/POPS/COP.4/INF/31</w:t>
            </w:r>
          </w:p>
        </w:tc>
        <w:tc>
          <w:tcPr>
            <w:tcW w:w="5387" w:type="dxa"/>
          </w:tcPr>
          <w:p w:rsidR="0025579A" w:rsidRPr="00B96E46" w:rsidRDefault="0025579A" w:rsidP="00434FCC">
            <w:pPr>
              <w:spacing w:after="120"/>
              <w:jc w:val="both"/>
              <w:rPr>
                <w:rFonts w:hint="cs"/>
                <w:rtl/>
                <w:lang w:bidi="ar-EG"/>
              </w:rPr>
            </w:pPr>
            <w:r>
              <w:rPr>
                <w:rFonts w:hint="cs"/>
                <w:rtl/>
                <w:lang w:bidi="ar-EG"/>
              </w:rPr>
              <w:t>تقرير مرحلي عن الدراسة الاستقصائية عن لبن الثدي اشترك في إجرائها أمانة اتفاقية استكهولم ومنظمة الصحة العالمية</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(ك)</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عدم الامتثال</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UNEP/POPS/COP.4/34</w:t>
            </w:r>
          </w:p>
        </w:tc>
        <w:tc>
          <w:tcPr>
            <w:tcW w:w="5387" w:type="dxa"/>
          </w:tcPr>
          <w:p w:rsidR="0025579A" w:rsidRPr="00B96E46" w:rsidRDefault="0025579A" w:rsidP="00434FCC">
            <w:pPr>
              <w:spacing w:after="120"/>
              <w:jc w:val="both"/>
              <w:rPr>
                <w:rFonts w:hint="cs"/>
                <w:rtl/>
                <w:lang w:bidi="ar-EG"/>
              </w:rPr>
            </w:pPr>
            <w:r>
              <w:rPr>
                <w:rFonts w:hint="cs"/>
                <w:rtl/>
                <w:lang w:bidi="ar-EG"/>
              </w:rPr>
              <w:t>الإجراءات والآليات المؤسسية لتحديد عدم الامتثال لأحكام الاتفاقية ولمعاملة الأطراف التي يتبيَّن عدم امتثالها</w:t>
            </w:r>
          </w:p>
        </w:tc>
      </w:tr>
      <w:tr w:rsidR="0025579A" w:rsidTr="00434FCC">
        <w:tc>
          <w:tcPr>
            <w:tcW w:w="720" w:type="dxa"/>
          </w:tcPr>
          <w:p w:rsidR="0025579A" w:rsidRPr="00AF2466" w:rsidRDefault="0025579A" w:rsidP="00434FCC">
            <w:pPr>
              <w:spacing w:after="120"/>
              <w:jc w:val="both"/>
              <w:rPr>
                <w:rFonts w:hint="cs"/>
                <w:b/>
                <w:bCs/>
                <w:rtl/>
                <w:lang w:bidi="ar-EG"/>
              </w:rPr>
            </w:pPr>
            <w:r w:rsidRPr="00AF2466">
              <w:rPr>
                <w:rFonts w:hint="cs"/>
                <w:b/>
                <w:bCs/>
                <w:rtl/>
                <w:lang w:bidi="ar-EG"/>
              </w:rPr>
              <w:t>(ل)</w:t>
            </w:r>
          </w:p>
        </w:tc>
        <w:tc>
          <w:tcPr>
            <w:tcW w:w="8395" w:type="dxa"/>
            <w:gridSpan w:val="2"/>
          </w:tcPr>
          <w:p w:rsidR="0025579A" w:rsidRPr="00AF2466" w:rsidRDefault="0025579A" w:rsidP="00434FCC">
            <w:pPr>
              <w:spacing w:after="120"/>
              <w:jc w:val="both"/>
              <w:rPr>
                <w:rFonts w:hint="cs"/>
                <w:b/>
                <w:bCs/>
                <w:rtl/>
                <w:lang w:bidi="ar-EG"/>
              </w:rPr>
            </w:pPr>
            <w:r w:rsidRPr="00AF2466">
              <w:rPr>
                <w:rFonts w:hint="cs"/>
                <w:b/>
                <w:bCs/>
                <w:rtl/>
                <w:lang w:bidi="ar-EG"/>
              </w:rPr>
              <w:t>أوجه التآزر</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UNEP/POPS/COP.4/32</w:t>
            </w:r>
          </w:p>
        </w:tc>
        <w:tc>
          <w:tcPr>
            <w:tcW w:w="5387" w:type="dxa"/>
          </w:tcPr>
          <w:p w:rsidR="0025579A" w:rsidRPr="00B96E46" w:rsidRDefault="0025579A" w:rsidP="00434FCC">
            <w:pPr>
              <w:spacing w:after="120"/>
              <w:jc w:val="both"/>
              <w:rPr>
                <w:rFonts w:hint="cs"/>
                <w:rtl/>
                <w:lang w:bidi="ar-EG"/>
              </w:rPr>
            </w:pPr>
            <w:r>
              <w:rPr>
                <w:rFonts w:hint="cs"/>
                <w:rtl/>
                <w:lang w:bidi="ar-EG"/>
              </w:rPr>
              <w:t>تعزيز التعاون والتنسيق بين اتفاقيات بازل وروتردام واستكهولم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UNEP/POPS/COP.4/INF/21</w:t>
            </w:r>
          </w:p>
        </w:tc>
        <w:tc>
          <w:tcPr>
            <w:tcW w:w="5387" w:type="dxa"/>
          </w:tcPr>
          <w:p w:rsidR="0025579A" w:rsidRPr="00432003" w:rsidRDefault="0025579A" w:rsidP="00434FCC">
            <w:pPr>
              <w:spacing w:after="120"/>
              <w:jc w:val="both"/>
              <w:rPr>
                <w:rFonts w:hint="cs"/>
                <w:rtl/>
                <w:lang w:bidi="ar-EG"/>
              </w:rPr>
            </w:pPr>
            <w:r>
              <w:rPr>
                <w:rFonts w:hint="cs"/>
                <w:rtl/>
                <w:lang w:bidi="ar-EG"/>
              </w:rPr>
              <w:t>معلومات بشأن التكاليف والآثار التنظيمية نتيجة إنشاء خدمات مشتركة لاتفاقيات بازل وروتردام واستكهولم على النحو الموضَّح في توصية الفريق العامل المخصَّص المعني بتعزيز التعاون والتنسيق بين اتفاقيات بازل وروتردام واستكهولم</w:t>
            </w:r>
          </w:p>
        </w:tc>
      </w:tr>
      <w:tr w:rsidR="0025579A" w:rsidTr="00434FCC">
        <w:tc>
          <w:tcPr>
            <w:tcW w:w="720" w:type="dxa"/>
          </w:tcPr>
          <w:p w:rsidR="0025579A" w:rsidRPr="00AF2466" w:rsidRDefault="0025579A" w:rsidP="00434FCC">
            <w:pPr>
              <w:spacing w:after="120"/>
              <w:jc w:val="both"/>
              <w:rPr>
                <w:rFonts w:hint="cs"/>
                <w:b/>
                <w:bCs/>
                <w:rtl/>
                <w:lang w:bidi="ar-EG"/>
              </w:rPr>
            </w:pPr>
          </w:p>
        </w:tc>
        <w:tc>
          <w:tcPr>
            <w:tcW w:w="3008" w:type="dxa"/>
          </w:tcPr>
          <w:p w:rsidR="0025579A" w:rsidRDefault="0025579A" w:rsidP="00434FCC">
            <w:pPr>
              <w:jc w:val="both"/>
              <w:rPr>
                <w:rtl/>
                <w:lang w:bidi="ar-EG"/>
              </w:rPr>
            </w:pPr>
            <w:r>
              <w:rPr>
                <w:lang w:bidi="ar-EG"/>
              </w:rPr>
              <w:t>UNEP/POPS/COP.4/INF/22</w:t>
            </w:r>
          </w:p>
        </w:tc>
        <w:tc>
          <w:tcPr>
            <w:tcW w:w="5387" w:type="dxa"/>
          </w:tcPr>
          <w:p w:rsidR="0025579A" w:rsidRPr="00432003" w:rsidRDefault="0025579A" w:rsidP="00434FCC">
            <w:pPr>
              <w:spacing w:after="120"/>
              <w:jc w:val="both"/>
              <w:rPr>
                <w:rFonts w:hint="cs"/>
                <w:rtl/>
                <w:lang w:bidi="ar-EG"/>
              </w:rPr>
            </w:pPr>
            <w:r>
              <w:rPr>
                <w:rFonts w:hint="cs"/>
                <w:rtl/>
                <w:lang w:bidi="ar-EG"/>
              </w:rPr>
              <w:t>اقتراح بشأن تمويل الاجتماعات الاستثنائية المنسَّقة لمؤتمرات الأطراف في اتفاقيات بازل وروتردام واستكهولم</w:t>
            </w:r>
          </w:p>
        </w:tc>
      </w:tr>
    </w:tbl>
    <w:p w:rsidR="0025579A" w:rsidRPr="00CB30AF" w:rsidRDefault="0025579A" w:rsidP="0025579A">
      <w:pPr>
        <w:spacing w:before="120" w:after="120"/>
        <w:ind w:left="1327"/>
        <w:jc w:val="both"/>
        <w:rPr>
          <w:rFonts w:hint="cs"/>
          <w:b/>
          <w:bCs/>
          <w:sz w:val="30"/>
          <w:rtl/>
          <w:lang w:bidi="ar-EG"/>
        </w:rPr>
      </w:pPr>
      <w:r w:rsidRPr="00CB30AF">
        <w:rPr>
          <w:rFonts w:hint="cs"/>
          <w:b/>
          <w:bCs/>
          <w:sz w:val="30"/>
          <w:rtl/>
          <w:lang w:bidi="ar-EG"/>
        </w:rPr>
        <w:t>البند 6:</w:t>
      </w:r>
      <w:r w:rsidRPr="00CB30AF">
        <w:rPr>
          <w:rFonts w:hint="cs"/>
          <w:b/>
          <w:bCs/>
          <w:sz w:val="30"/>
          <w:rtl/>
          <w:lang w:bidi="ar-EG"/>
        </w:rPr>
        <w:tab/>
        <w:t>أنشطة الأمانة واعتماد الميزانية</w:t>
      </w:r>
    </w:p>
    <w:tbl>
      <w:tblPr>
        <w:bidiVisual/>
        <w:tblW w:w="0" w:type="auto"/>
        <w:tblInd w:w="1363" w:type="dxa"/>
        <w:tblLook w:val="01E0"/>
      </w:tblPr>
      <w:tblGrid>
        <w:gridCol w:w="355"/>
        <w:gridCol w:w="3399"/>
        <w:gridCol w:w="5361"/>
      </w:tblGrid>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spacing w:after="40" w:line="360" w:lineRule="exact"/>
              <w:jc w:val="both"/>
              <w:rPr>
                <w:rtl/>
                <w:lang w:bidi="ar-EG"/>
              </w:rPr>
            </w:pPr>
            <w:r>
              <w:rPr>
                <w:lang w:bidi="ar-EG"/>
              </w:rPr>
              <w:t>UNEP/POPS/COP.4/15</w:t>
            </w:r>
          </w:p>
        </w:tc>
        <w:tc>
          <w:tcPr>
            <w:tcW w:w="5361" w:type="dxa"/>
          </w:tcPr>
          <w:p w:rsidR="0025579A" w:rsidRPr="00432003" w:rsidRDefault="0025579A" w:rsidP="00434FCC">
            <w:pPr>
              <w:spacing w:after="40" w:line="360" w:lineRule="exact"/>
              <w:jc w:val="both"/>
              <w:rPr>
                <w:rFonts w:hint="cs"/>
                <w:rtl/>
                <w:lang w:bidi="ar-EG"/>
              </w:rPr>
            </w:pPr>
            <w:r>
              <w:rPr>
                <w:rFonts w:hint="cs"/>
                <w:rtl/>
                <w:lang w:bidi="ar-EG"/>
              </w:rPr>
              <w:t>التقرير المالي واستعراض حالة التوظيف في الأمانة</w:t>
            </w:r>
          </w:p>
        </w:tc>
      </w:tr>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spacing w:after="40" w:line="360" w:lineRule="exact"/>
              <w:jc w:val="both"/>
              <w:rPr>
                <w:rtl/>
                <w:lang w:bidi="ar-EG"/>
              </w:rPr>
            </w:pPr>
            <w:r>
              <w:rPr>
                <w:lang w:bidi="ar-EG"/>
              </w:rPr>
              <w:t>UNEP/POPS/COP.4/35</w:t>
            </w:r>
          </w:p>
        </w:tc>
        <w:tc>
          <w:tcPr>
            <w:tcW w:w="5361" w:type="dxa"/>
          </w:tcPr>
          <w:p w:rsidR="0025579A" w:rsidRPr="00B96E46" w:rsidRDefault="0025579A" w:rsidP="00434FCC">
            <w:pPr>
              <w:spacing w:after="40" w:line="360" w:lineRule="exact"/>
              <w:jc w:val="both"/>
              <w:rPr>
                <w:rFonts w:hint="cs"/>
                <w:rtl/>
                <w:lang w:bidi="ar-EG"/>
              </w:rPr>
            </w:pPr>
            <w:r>
              <w:rPr>
                <w:rFonts w:hint="cs"/>
                <w:rtl/>
                <w:lang w:bidi="ar-EG"/>
              </w:rPr>
              <w:t>أنشطة الأمانة من 1 كانون الثاني/يناير 2007 إلى 31 كانون الأول/ديسمبر 2008</w:t>
            </w:r>
          </w:p>
        </w:tc>
      </w:tr>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spacing w:after="40" w:line="360" w:lineRule="exact"/>
              <w:jc w:val="both"/>
              <w:rPr>
                <w:lang w:bidi="ar-EG"/>
              </w:rPr>
            </w:pPr>
            <w:r>
              <w:rPr>
                <w:lang w:bidi="ar-EG"/>
              </w:rPr>
              <w:t>UNEP/POPS/COP.4/37</w:t>
            </w:r>
            <w:r>
              <w:rPr>
                <w:rFonts w:hint="cs"/>
                <w:rtl/>
                <w:lang w:bidi="ar-EG"/>
              </w:rPr>
              <w:t xml:space="preserve"> و</w:t>
            </w:r>
            <w:r>
              <w:rPr>
                <w:lang w:bidi="ar-EG"/>
              </w:rPr>
              <w:t>Add.1</w:t>
            </w:r>
          </w:p>
        </w:tc>
        <w:tc>
          <w:tcPr>
            <w:tcW w:w="5361" w:type="dxa"/>
          </w:tcPr>
          <w:p w:rsidR="0025579A" w:rsidRPr="00A35F42" w:rsidRDefault="0025579A" w:rsidP="00434FCC">
            <w:pPr>
              <w:spacing w:after="40" w:line="360" w:lineRule="exact"/>
              <w:jc w:val="both"/>
              <w:rPr>
                <w:rFonts w:hint="cs"/>
                <w:rtl/>
                <w:lang w:bidi="ar-EG"/>
              </w:rPr>
            </w:pPr>
            <w:r>
              <w:rPr>
                <w:rFonts w:hint="cs"/>
                <w:rtl/>
                <w:lang w:bidi="ar-EG"/>
              </w:rPr>
              <w:t>برنامج العمل والميزانية المقترحة لفترة السنتين 2010-2011</w:t>
            </w:r>
          </w:p>
        </w:tc>
      </w:tr>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spacing w:after="40" w:line="360" w:lineRule="exact"/>
              <w:jc w:val="both"/>
              <w:rPr>
                <w:rtl/>
                <w:lang w:bidi="ar-EG"/>
              </w:rPr>
            </w:pPr>
            <w:r>
              <w:rPr>
                <w:lang w:bidi="ar-EG"/>
              </w:rPr>
              <w:t>UNEP/POPS/COP.4/INF/6</w:t>
            </w:r>
          </w:p>
        </w:tc>
        <w:tc>
          <w:tcPr>
            <w:tcW w:w="5361" w:type="dxa"/>
          </w:tcPr>
          <w:p w:rsidR="0025579A" w:rsidRPr="00AF2466" w:rsidRDefault="0025579A" w:rsidP="00434FCC">
            <w:pPr>
              <w:spacing w:after="40" w:line="360" w:lineRule="exact"/>
              <w:jc w:val="both"/>
              <w:rPr>
                <w:rFonts w:hint="cs"/>
                <w:w w:val="80"/>
                <w:rtl/>
                <w:lang w:bidi="ar-EG"/>
              </w:rPr>
            </w:pPr>
            <w:r w:rsidRPr="00AF2466">
              <w:rPr>
                <w:rFonts w:hint="cs"/>
                <w:w w:val="80"/>
                <w:rtl/>
                <w:lang w:bidi="ar-EG"/>
              </w:rPr>
              <w:t>معلومات مستكملة عن النفقات والمساهمات المعقودة أو الواردة وحالة التوظيف</w:t>
            </w:r>
          </w:p>
        </w:tc>
      </w:tr>
    </w:tbl>
    <w:p w:rsidR="0025579A" w:rsidRPr="00CB30AF" w:rsidRDefault="0025579A" w:rsidP="0025579A">
      <w:pPr>
        <w:spacing w:before="120" w:after="120"/>
        <w:ind w:left="1327"/>
        <w:jc w:val="both"/>
        <w:rPr>
          <w:rFonts w:hint="cs"/>
          <w:b/>
          <w:bCs/>
          <w:sz w:val="30"/>
          <w:rtl/>
          <w:lang w:bidi="ar-EG"/>
        </w:rPr>
      </w:pPr>
      <w:r w:rsidRPr="00CB30AF">
        <w:rPr>
          <w:rFonts w:hint="cs"/>
          <w:b/>
          <w:bCs/>
          <w:sz w:val="30"/>
          <w:rtl/>
          <w:lang w:bidi="ar-EG"/>
        </w:rPr>
        <w:t>البند 7:</w:t>
      </w:r>
      <w:r w:rsidRPr="00CB30AF">
        <w:rPr>
          <w:rFonts w:hint="cs"/>
          <w:b/>
          <w:bCs/>
          <w:sz w:val="30"/>
          <w:rtl/>
          <w:lang w:bidi="ar-EG"/>
        </w:rPr>
        <w:tab/>
        <w:t>الجزء رفيع المستوى</w:t>
      </w:r>
    </w:p>
    <w:tbl>
      <w:tblPr>
        <w:bidiVisual/>
        <w:tblW w:w="0" w:type="auto"/>
        <w:tblInd w:w="1363" w:type="dxa"/>
        <w:tblLook w:val="01E0"/>
      </w:tblPr>
      <w:tblGrid>
        <w:gridCol w:w="355"/>
        <w:gridCol w:w="3399"/>
        <w:gridCol w:w="5361"/>
      </w:tblGrid>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jc w:val="both"/>
              <w:rPr>
                <w:rtl/>
                <w:lang w:bidi="ar-EG"/>
              </w:rPr>
            </w:pPr>
            <w:r>
              <w:rPr>
                <w:lang w:bidi="ar-EG"/>
              </w:rPr>
              <w:t>UNEP/POPS/COP.4/INF/29</w:t>
            </w:r>
          </w:p>
        </w:tc>
        <w:tc>
          <w:tcPr>
            <w:tcW w:w="5361" w:type="dxa"/>
          </w:tcPr>
          <w:p w:rsidR="0025579A" w:rsidRPr="00A35F42" w:rsidRDefault="0025579A" w:rsidP="00434FCC">
            <w:pPr>
              <w:spacing w:after="120"/>
              <w:jc w:val="both"/>
              <w:rPr>
                <w:rFonts w:hint="cs"/>
                <w:rtl/>
                <w:lang w:bidi="ar-EG"/>
              </w:rPr>
            </w:pPr>
            <w:r>
              <w:rPr>
                <w:rFonts w:hint="cs"/>
                <w:rtl/>
                <w:lang w:bidi="ar-EG"/>
              </w:rPr>
              <w:t>معلومات عن الجزء رفيع المستوى</w:t>
            </w:r>
          </w:p>
        </w:tc>
      </w:tr>
    </w:tbl>
    <w:p w:rsidR="0025579A" w:rsidRPr="00CB30AF" w:rsidRDefault="0025579A" w:rsidP="0025579A">
      <w:pPr>
        <w:spacing w:before="120" w:after="120"/>
        <w:ind w:left="1327"/>
        <w:jc w:val="both"/>
        <w:rPr>
          <w:rFonts w:hint="cs"/>
          <w:b/>
          <w:bCs/>
          <w:sz w:val="30"/>
          <w:rtl/>
          <w:lang w:bidi="ar-EG"/>
        </w:rPr>
      </w:pPr>
      <w:r w:rsidRPr="00CB30AF">
        <w:rPr>
          <w:rFonts w:hint="cs"/>
          <w:b/>
          <w:bCs/>
          <w:sz w:val="30"/>
          <w:rtl/>
          <w:lang w:bidi="ar-EG"/>
        </w:rPr>
        <w:t>البند 9:</w:t>
      </w:r>
      <w:r w:rsidRPr="00CB30AF">
        <w:rPr>
          <w:rFonts w:hint="cs"/>
          <w:b/>
          <w:bCs/>
          <w:sz w:val="30"/>
          <w:rtl/>
          <w:lang w:bidi="ar-EG"/>
        </w:rPr>
        <w:tab/>
        <w:t>مسائل أخرى</w:t>
      </w:r>
    </w:p>
    <w:tbl>
      <w:tblPr>
        <w:bidiVisual/>
        <w:tblW w:w="0" w:type="auto"/>
        <w:tblInd w:w="1363" w:type="dxa"/>
        <w:tblLook w:val="01E0"/>
      </w:tblPr>
      <w:tblGrid>
        <w:gridCol w:w="355"/>
        <w:gridCol w:w="3399"/>
        <w:gridCol w:w="5361"/>
      </w:tblGrid>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jc w:val="both"/>
              <w:rPr>
                <w:rtl/>
                <w:lang w:bidi="ar-EG"/>
              </w:rPr>
            </w:pPr>
            <w:r>
              <w:rPr>
                <w:lang w:bidi="ar-EG"/>
              </w:rPr>
              <w:t>UNEP/POPS/COP.4/36</w:t>
            </w:r>
          </w:p>
        </w:tc>
        <w:tc>
          <w:tcPr>
            <w:tcW w:w="5361" w:type="dxa"/>
          </w:tcPr>
          <w:p w:rsidR="0025579A" w:rsidRPr="00A35F42" w:rsidRDefault="0025579A" w:rsidP="00434FCC">
            <w:pPr>
              <w:spacing w:after="120"/>
              <w:jc w:val="both"/>
              <w:rPr>
                <w:rFonts w:hint="cs"/>
                <w:rtl/>
                <w:lang w:bidi="ar-EG"/>
              </w:rPr>
            </w:pPr>
            <w:r>
              <w:rPr>
                <w:rFonts w:hint="cs"/>
                <w:rtl/>
                <w:lang w:bidi="ar-EG"/>
              </w:rPr>
              <w:t>الاتصالات الرسمية بالأطراف والمراقبين</w:t>
            </w:r>
          </w:p>
        </w:tc>
      </w:tr>
      <w:tr w:rsidR="0025579A" w:rsidTr="00434FCC">
        <w:tc>
          <w:tcPr>
            <w:tcW w:w="355" w:type="dxa"/>
          </w:tcPr>
          <w:p w:rsidR="0025579A" w:rsidRPr="00AF2466" w:rsidRDefault="0025579A" w:rsidP="00434FCC">
            <w:pPr>
              <w:spacing w:after="120"/>
              <w:jc w:val="both"/>
              <w:rPr>
                <w:rFonts w:hint="cs"/>
                <w:b/>
                <w:bCs/>
                <w:rtl/>
                <w:lang w:bidi="ar-EG"/>
              </w:rPr>
            </w:pPr>
          </w:p>
        </w:tc>
        <w:tc>
          <w:tcPr>
            <w:tcW w:w="3399" w:type="dxa"/>
          </w:tcPr>
          <w:p w:rsidR="0025579A" w:rsidRDefault="0025579A" w:rsidP="00434FCC">
            <w:pPr>
              <w:jc w:val="both"/>
              <w:rPr>
                <w:rtl/>
                <w:lang w:bidi="ar-EG"/>
              </w:rPr>
            </w:pPr>
            <w:r>
              <w:rPr>
                <w:lang w:bidi="ar-EG"/>
              </w:rPr>
              <w:t>UNEP/POPS/COP.4/INF/15</w:t>
            </w:r>
          </w:p>
        </w:tc>
        <w:tc>
          <w:tcPr>
            <w:tcW w:w="5361" w:type="dxa"/>
          </w:tcPr>
          <w:p w:rsidR="0025579A" w:rsidRPr="00A35F42" w:rsidRDefault="0025579A" w:rsidP="00434FCC">
            <w:pPr>
              <w:spacing w:after="120"/>
              <w:jc w:val="both"/>
              <w:rPr>
                <w:rFonts w:hint="cs"/>
                <w:rtl/>
                <w:lang w:bidi="ar-EG"/>
              </w:rPr>
            </w:pPr>
            <w:r>
              <w:rPr>
                <w:rFonts w:hint="cs"/>
                <w:rtl/>
                <w:lang w:bidi="ar-EG"/>
              </w:rPr>
              <w:t xml:space="preserve">حالة التصديق على اتفاقية استكهولم </w:t>
            </w:r>
          </w:p>
        </w:tc>
      </w:tr>
      <w:tr w:rsidR="0025579A" w:rsidTr="00434FCC">
        <w:tc>
          <w:tcPr>
            <w:tcW w:w="355" w:type="dxa"/>
          </w:tcPr>
          <w:p w:rsidR="0025579A" w:rsidRPr="00AF2466" w:rsidRDefault="0025579A" w:rsidP="00434FCC">
            <w:pPr>
              <w:jc w:val="both"/>
              <w:rPr>
                <w:rFonts w:hint="cs"/>
                <w:b/>
                <w:bCs/>
                <w:rtl/>
                <w:lang w:bidi="ar-EG"/>
              </w:rPr>
            </w:pPr>
          </w:p>
        </w:tc>
        <w:tc>
          <w:tcPr>
            <w:tcW w:w="3399" w:type="dxa"/>
          </w:tcPr>
          <w:p w:rsidR="0025579A" w:rsidRDefault="0025579A" w:rsidP="00434FCC">
            <w:pPr>
              <w:jc w:val="both"/>
              <w:rPr>
                <w:rtl/>
                <w:lang w:bidi="ar-EG"/>
              </w:rPr>
            </w:pPr>
            <w:r>
              <w:rPr>
                <w:lang w:bidi="ar-EG"/>
              </w:rPr>
              <w:t>UNEP/POPS/COP.4/INF/23</w:t>
            </w:r>
          </w:p>
        </w:tc>
        <w:tc>
          <w:tcPr>
            <w:tcW w:w="5361" w:type="dxa"/>
          </w:tcPr>
          <w:p w:rsidR="0025579A" w:rsidRPr="00AF2466" w:rsidRDefault="0025579A" w:rsidP="00434FCC">
            <w:pPr>
              <w:jc w:val="both"/>
              <w:rPr>
                <w:rFonts w:hint="cs"/>
                <w:w w:val="90"/>
                <w:rtl/>
                <w:lang w:bidi="ar-EG"/>
              </w:rPr>
            </w:pPr>
            <w:r w:rsidRPr="00AF2466">
              <w:rPr>
                <w:rFonts w:hint="cs"/>
                <w:w w:val="90"/>
                <w:rtl/>
                <w:lang w:bidi="ar-EG"/>
              </w:rPr>
              <w:t>المنظمات غير الحكومية التي تلتمس الاعتماد في اجتماعات مؤتمر الأطراف</w:t>
            </w:r>
          </w:p>
        </w:tc>
      </w:tr>
    </w:tbl>
    <w:p w:rsidR="0025579A" w:rsidRDefault="0025579A" w:rsidP="0025579A">
      <w:pPr>
        <w:spacing w:line="20" w:lineRule="exact"/>
        <w:jc w:val="both"/>
        <w:rPr>
          <w:rFonts w:hint="cs"/>
          <w:sz w:val="34"/>
          <w:szCs w:val="34"/>
          <w:rtl/>
          <w:lang w:bidi="ar-EG"/>
        </w:rPr>
      </w:pPr>
      <w:r w:rsidRPr="006F3107">
        <w:rPr>
          <w:sz w:val="34"/>
          <w:szCs w:val="34"/>
          <w:rtl/>
          <w:lang w:bidi="ar-EG"/>
        </w:rPr>
        <w:br w:type="page"/>
      </w:r>
    </w:p>
    <w:p w:rsidR="0025579A" w:rsidRPr="006F3107" w:rsidRDefault="0025579A" w:rsidP="0025579A">
      <w:pPr>
        <w:spacing w:before="120" w:after="120"/>
        <w:ind w:left="65"/>
        <w:jc w:val="both"/>
        <w:rPr>
          <w:rFonts w:hint="cs"/>
          <w:b/>
          <w:bCs/>
          <w:sz w:val="34"/>
          <w:szCs w:val="34"/>
          <w:rtl/>
          <w:lang w:bidi="ar-EG"/>
        </w:rPr>
      </w:pPr>
      <w:r w:rsidRPr="006F3107">
        <w:rPr>
          <w:rFonts w:hint="cs"/>
          <w:b/>
          <w:bCs/>
          <w:sz w:val="34"/>
          <w:szCs w:val="34"/>
          <w:rtl/>
          <w:lang w:bidi="ar-EG"/>
        </w:rPr>
        <w:lastRenderedPageBreak/>
        <w:t>المرفق الثالث</w:t>
      </w:r>
    </w:p>
    <w:p w:rsidR="0025579A" w:rsidRPr="006F3107" w:rsidRDefault="0025579A" w:rsidP="0025579A">
      <w:pPr>
        <w:spacing w:before="120" w:after="120"/>
        <w:ind w:left="1327"/>
        <w:jc w:val="both"/>
        <w:rPr>
          <w:rFonts w:hint="cs"/>
          <w:b/>
          <w:bCs/>
          <w:sz w:val="32"/>
          <w:szCs w:val="32"/>
          <w:rtl/>
          <w:lang w:bidi="ar-EG"/>
        </w:rPr>
      </w:pPr>
      <w:r w:rsidRPr="006F3107">
        <w:rPr>
          <w:rFonts w:hint="cs"/>
          <w:b/>
          <w:bCs/>
          <w:sz w:val="32"/>
          <w:szCs w:val="32"/>
          <w:rtl/>
          <w:lang w:bidi="ar-EG"/>
        </w:rPr>
        <w:t>تقرير المكتب عن وثائق تفويض الممثلين المقدَّم إلى الاجتماع الرابع لمؤتمر الأطراف</w:t>
      </w:r>
    </w:p>
    <w:p w:rsidR="0025579A" w:rsidRDefault="0025579A" w:rsidP="0025579A">
      <w:pPr>
        <w:spacing w:before="120" w:after="120"/>
        <w:ind w:left="1327"/>
        <w:jc w:val="both"/>
        <w:rPr>
          <w:rFonts w:hint="cs"/>
          <w:rtl/>
          <w:lang w:bidi="ar-EG"/>
        </w:rPr>
      </w:pPr>
      <w:r>
        <w:rPr>
          <w:rFonts w:hint="cs"/>
          <w:rtl/>
          <w:lang w:bidi="ar-EG"/>
        </w:rPr>
        <w:tab/>
        <w:t>سُجِّل وحضر للمشاركة في الاجتماع الرابع لمؤتمر الأطراف في اتفاقية استكهولم ممثلو 143 طرفاً.</w:t>
      </w:r>
    </w:p>
    <w:p w:rsidR="0025579A" w:rsidRDefault="0025579A" w:rsidP="0025579A">
      <w:pPr>
        <w:spacing w:before="120" w:after="120"/>
        <w:ind w:left="1327"/>
        <w:jc w:val="both"/>
        <w:rPr>
          <w:rFonts w:hint="cs"/>
          <w:rtl/>
          <w:lang w:bidi="ar-EG"/>
        </w:rPr>
      </w:pPr>
      <w:r>
        <w:rPr>
          <w:rFonts w:hint="cs"/>
          <w:rtl/>
          <w:lang w:bidi="ar-EG"/>
        </w:rPr>
        <w:tab/>
        <w:t>وقدَّم 129 طرفاً وثائق تفويض لممثليهم صادرة عن رئيس الدولة أو الحكومة أو وزير الخارجية ولذا تعتبر صحيحة.</w:t>
      </w:r>
    </w:p>
    <w:p w:rsidR="0025579A" w:rsidRDefault="0025579A" w:rsidP="0025579A">
      <w:pPr>
        <w:spacing w:before="120" w:after="120"/>
        <w:ind w:left="1327"/>
        <w:jc w:val="both"/>
        <w:rPr>
          <w:rFonts w:hint="cs"/>
          <w:rtl/>
          <w:lang w:bidi="ar-EG"/>
        </w:rPr>
      </w:pPr>
      <w:r>
        <w:rPr>
          <w:rFonts w:hint="cs"/>
          <w:rtl/>
          <w:lang w:bidi="ar-EG"/>
        </w:rPr>
        <w:tab/>
        <w:t>وأرسلت الأطراف الثلاثة التالية ترشيحات ممثليهم بموجب خطابات صادرة عن مسؤولين في السفارة أو وزارة الشؤون الخارجية ولكنها لا تحمل توقيع وزير الخارجية: الإمارات العربية المتحدة والجمهورية الدومينيكية ونيجيريا. وبالإضافة إلى ذلك لم تقدِّم الأطراف الأحد عشر التالية وثائق تفويض لممثليهم: ألبانيا وبوروندي وبيرو وتشاد ورواندا وغينيا بيساو وليبيريا وموريتانيا وميكرونيزيا (ولايات - المتحدة) وهنغاريا واليمن. ولذلك تشارك هذه الأطراف الأربعة عشرة بصفة مراقب في الاجتماع الرابع لمؤتمر الأطراف وسوف يتم تسجيلها بهذه الصفة في التقرير وفي قائمة المشاركين.</w:t>
      </w:r>
    </w:p>
    <w:p w:rsidR="0025579A" w:rsidRDefault="0025579A" w:rsidP="0025579A">
      <w:pPr>
        <w:spacing w:line="20" w:lineRule="exact"/>
        <w:jc w:val="both"/>
        <w:rPr>
          <w:rFonts w:hint="cs"/>
          <w:rtl/>
          <w:lang w:bidi="ar-EG"/>
        </w:rPr>
      </w:pPr>
      <w:r>
        <w:rPr>
          <w:rtl/>
          <w:lang w:bidi="ar-EG"/>
        </w:rPr>
        <w:br w:type="page"/>
      </w:r>
    </w:p>
    <w:p w:rsidR="0025579A" w:rsidRPr="006F3107" w:rsidRDefault="0025579A" w:rsidP="0025579A">
      <w:pPr>
        <w:spacing w:before="120" w:after="120"/>
        <w:ind w:left="65"/>
        <w:jc w:val="both"/>
        <w:rPr>
          <w:rFonts w:hint="cs"/>
          <w:b/>
          <w:bCs/>
          <w:sz w:val="34"/>
          <w:szCs w:val="34"/>
          <w:rtl/>
          <w:lang w:bidi="ar-EG"/>
        </w:rPr>
      </w:pPr>
      <w:r w:rsidRPr="006F3107">
        <w:rPr>
          <w:rFonts w:hint="cs"/>
          <w:b/>
          <w:bCs/>
          <w:sz w:val="34"/>
          <w:szCs w:val="34"/>
          <w:rtl/>
          <w:lang w:bidi="ar-EG"/>
        </w:rPr>
        <w:lastRenderedPageBreak/>
        <w:t>المرفق الرابع</w:t>
      </w:r>
    </w:p>
    <w:p w:rsidR="0025579A" w:rsidRPr="006F3107" w:rsidRDefault="0025579A" w:rsidP="0025579A">
      <w:pPr>
        <w:spacing w:before="120" w:after="120"/>
        <w:ind w:left="1327"/>
        <w:jc w:val="both"/>
        <w:rPr>
          <w:rFonts w:hint="cs"/>
          <w:b/>
          <w:bCs/>
          <w:sz w:val="32"/>
          <w:szCs w:val="32"/>
          <w:rtl/>
          <w:lang w:bidi="ar-EG"/>
        </w:rPr>
      </w:pPr>
      <w:r w:rsidRPr="006F3107">
        <w:rPr>
          <w:rFonts w:hint="cs"/>
          <w:b/>
          <w:bCs/>
          <w:sz w:val="32"/>
          <w:szCs w:val="32"/>
          <w:rtl/>
          <w:lang w:bidi="ar-EG"/>
        </w:rPr>
        <w:t>الرسائل الرئيسية الناشئة عن مناقشات المائدة المستديرة الوزارية</w:t>
      </w:r>
    </w:p>
    <w:p w:rsidR="0025579A" w:rsidRPr="00352CFD" w:rsidRDefault="0025579A" w:rsidP="0025579A">
      <w:pPr>
        <w:spacing w:before="120" w:after="120"/>
        <w:ind w:left="1327"/>
        <w:jc w:val="both"/>
        <w:rPr>
          <w:rFonts w:hint="cs"/>
          <w:b/>
          <w:bCs/>
          <w:rtl/>
          <w:lang w:bidi="ar-EG"/>
        </w:rPr>
      </w:pPr>
      <w:r>
        <w:rPr>
          <w:rFonts w:hint="cs"/>
          <w:b/>
          <w:bCs/>
          <w:rtl/>
          <w:lang w:bidi="ar-EG"/>
        </w:rPr>
        <w:t>مقدمة</w:t>
      </w:r>
    </w:p>
    <w:p w:rsidR="0025579A" w:rsidRDefault="0025579A" w:rsidP="0025579A">
      <w:pPr>
        <w:spacing w:after="120"/>
        <w:ind w:left="1327"/>
        <w:jc w:val="both"/>
        <w:rPr>
          <w:rFonts w:hint="cs"/>
          <w:rtl/>
          <w:lang w:bidi="ar-EG"/>
        </w:rPr>
      </w:pPr>
      <w:r>
        <w:rPr>
          <w:rFonts w:hint="cs"/>
          <w:rtl/>
          <w:lang w:bidi="ar-EG"/>
        </w:rPr>
        <w:t>1 -</w:t>
      </w:r>
      <w:r>
        <w:rPr>
          <w:rFonts w:hint="cs"/>
          <w:rtl/>
          <w:lang w:bidi="ar-EG"/>
        </w:rPr>
        <w:tab/>
        <w:t xml:space="preserve">في يوم الخمس 7 أيار/مايو 2009 اجتمع الوزراء ونواب الوزراء في ست موائد مستديرة للنظر في موضوع </w:t>
      </w:r>
      <w:r>
        <w:rPr>
          <w:rFonts w:hint="eastAsia"/>
          <w:rtl/>
          <w:lang w:bidi="ar-EG"/>
        </w:rPr>
        <w:t>”مواجهة تحديات مستقبل يخلو من الملوثات العضوية الثابتة</w:t>
      </w:r>
      <w:r>
        <w:rPr>
          <w:rFonts w:hint="cs"/>
          <w:rtl/>
          <w:lang w:bidi="ar-EG"/>
        </w:rPr>
        <w:t>“. وجرت مناقشات مائدة مستديرة واحدة باللغة العربية وواحدة باللغة الإنكليزية وواحدة باللغة الفرنسية وواحدة بخليط من الإنكليزية والفرنسية وواحدة بخليط من الإنكليزية والروسية وواحدة بالإسبانية.</w:t>
      </w:r>
    </w:p>
    <w:p w:rsidR="0025579A" w:rsidRDefault="0025579A" w:rsidP="0025579A">
      <w:pPr>
        <w:spacing w:after="120"/>
        <w:ind w:left="1327"/>
        <w:jc w:val="both"/>
        <w:rPr>
          <w:rFonts w:hint="cs"/>
          <w:rtl/>
          <w:lang w:bidi="ar-EG"/>
        </w:rPr>
      </w:pPr>
      <w:r>
        <w:rPr>
          <w:rFonts w:hint="cs"/>
          <w:rtl/>
          <w:lang w:bidi="ar-EG"/>
        </w:rPr>
        <w:t>2 -</w:t>
      </w:r>
      <w:r>
        <w:rPr>
          <w:rFonts w:hint="cs"/>
          <w:rtl/>
          <w:lang w:bidi="ar-EG"/>
        </w:rPr>
        <w:tab/>
        <w:t>وبدأ المشاركون بتبادل الخبرات من بلدانهم مع تعيين التحديات التي تواجه تنفيذ اتفاقية استكهولم واستكشاف الحلول المحتملة. ويرد ملخص لمداولاتهم حسب الموضوعات الرئيسية المثارة.</w:t>
      </w:r>
    </w:p>
    <w:p w:rsidR="0025579A" w:rsidRPr="005E4423" w:rsidRDefault="0025579A" w:rsidP="0025579A">
      <w:pPr>
        <w:spacing w:before="120" w:after="120"/>
        <w:ind w:left="662"/>
        <w:jc w:val="both"/>
        <w:rPr>
          <w:rFonts w:hint="cs"/>
          <w:b/>
          <w:bCs/>
          <w:rtl/>
          <w:lang w:bidi="ar-EG"/>
        </w:rPr>
      </w:pPr>
      <w:r>
        <w:rPr>
          <w:rFonts w:hint="cs"/>
          <w:b/>
          <w:bCs/>
          <w:rtl/>
          <w:lang w:bidi="ar-EG"/>
        </w:rPr>
        <w:t>1 -</w:t>
      </w:r>
      <w:r>
        <w:rPr>
          <w:rFonts w:hint="cs"/>
          <w:b/>
          <w:bCs/>
          <w:rtl/>
          <w:lang w:bidi="ar-EG"/>
        </w:rPr>
        <w:tab/>
        <w:t>التآزر</w:t>
      </w:r>
    </w:p>
    <w:p w:rsidR="0025579A" w:rsidRDefault="0025579A" w:rsidP="0025579A">
      <w:pPr>
        <w:spacing w:after="120"/>
        <w:ind w:left="1327"/>
        <w:jc w:val="both"/>
        <w:rPr>
          <w:rFonts w:hint="cs"/>
          <w:rtl/>
          <w:lang w:bidi="ar-EG"/>
        </w:rPr>
      </w:pPr>
      <w:r>
        <w:rPr>
          <w:rFonts w:hint="cs"/>
          <w:rtl/>
          <w:lang w:bidi="ar-EG"/>
        </w:rPr>
        <w:t>3 -</w:t>
      </w:r>
      <w:r>
        <w:rPr>
          <w:rFonts w:hint="cs"/>
          <w:rtl/>
          <w:lang w:bidi="ar-EG"/>
        </w:rPr>
        <w:tab/>
        <w:t>نظراً لموافقة المؤتمر على مقرر بشأن تعزيز التنسيق والتعاون بين اتفاقيات بازل وروتردام واستكهولم فقد جرت مناقشات كبيرة لأهمية التآزر على جميع المستويات. ومع الإعراب عن الثناء على أوجه التآزر باعتبارها وسيلة لزيادة الفعالية وتقليل التكاليف فقد تم التشديد على ضرورة تجنُّب التشابك والازدواج في الجهود. ولاحظ أحد الأفرقة أن كثيراً من أوجه التآزر القائمة بالفعل على الصعيد الوطني يمكن أن تكون نموذجاً مفيداً لإنشاء أوجه تآزر في الساحة الدولية التي تتسم الحالة فيها بقدر أكبر من التشتت.</w:t>
      </w:r>
    </w:p>
    <w:p w:rsidR="0025579A" w:rsidRDefault="0025579A" w:rsidP="0025579A">
      <w:pPr>
        <w:spacing w:after="120"/>
        <w:ind w:left="1327"/>
        <w:jc w:val="both"/>
        <w:rPr>
          <w:rFonts w:hint="cs"/>
          <w:rtl/>
          <w:lang w:bidi="ar-EG"/>
        </w:rPr>
      </w:pPr>
      <w:r>
        <w:rPr>
          <w:rFonts w:hint="cs"/>
          <w:rtl/>
          <w:lang w:bidi="ar-EG"/>
        </w:rPr>
        <w:t>4 -</w:t>
      </w:r>
      <w:r>
        <w:rPr>
          <w:rFonts w:hint="cs"/>
          <w:rtl/>
          <w:lang w:bidi="ar-EG"/>
        </w:rPr>
        <w:tab/>
        <w:t>وفي موضوع التآزر الوطني طالب المشاركون برعاية العلاقات والصلات الطيبة بين المؤسسات الحكومية، وذلك مثلاً عن طريق سياسات أو اتفاقيات أو لجان تشمل مختلف القطاعات وتنطوي على مشاركة العديد من الوزارات والمسؤولين لكفالة امتلاك الجميع للعملية. وهذه الصلات يمكن أن تنطوي على مؤسسات مثل خدمات الجمارك التي تؤدي دوراً هاماً في منع التهريب والاتجار غير المشروع في الملوثات العضوية الثابتة. وبالإضافة إلى ذلك لاحظ المشاركون ضرورة استخدام الخبراء الاستشاريين الوطنيين والمهارات الوطنية بدلاً من السعي لإحضار خبراء من الخارج. وفي هذا الصدد تتسم العلاقات الطيبة مع القطاع الخاص بالأهمية.</w:t>
      </w:r>
    </w:p>
    <w:p w:rsidR="0025579A" w:rsidRDefault="0025579A" w:rsidP="0025579A">
      <w:pPr>
        <w:spacing w:after="120"/>
        <w:ind w:left="1327"/>
        <w:jc w:val="both"/>
        <w:rPr>
          <w:rFonts w:hint="cs"/>
          <w:rtl/>
          <w:lang w:bidi="ar-EG"/>
        </w:rPr>
      </w:pPr>
      <w:r>
        <w:rPr>
          <w:rFonts w:hint="cs"/>
          <w:rtl/>
          <w:lang w:bidi="ar-EG"/>
        </w:rPr>
        <w:t>5 -</w:t>
      </w:r>
      <w:r>
        <w:rPr>
          <w:rFonts w:hint="cs"/>
          <w:rtl/>
          <w:lang w:bidi="ar-EG"/>
        </w:rPr>
        <w:tab/>
        <w:t>وعلى صعيد التآزر الإقليمي أكَّدت أفرقة المناقشات على أهمية التعاون بين بلدان الجنوب مع توجيه الاهتمام إلى الدور الممكن للمصارف والمعاهدات والاتفاقيات والهيئات الإقليمية مثل السوق المشتركة للجنوب.</w:t>
      </w:r>
    </w:p>
    <w:p w:rsidR="0025579A" w:rsidRDefault="0025579A" w:rsidP="0025579A">
      <w:pPr>
        <w:spacing w:after="120"/>
        <w:ind w:left="1327"/>
        <w:jc w:val="both"/>
        <w:rPr>
          <w:rFonts w:hint="cs"/>
          <w:rtl/>
          <w:lang w:bidi="ar-EG"/>
        </w:rPr>
      </w:pPr>
      <w:r>
        <w:rPr>
          <w:rFonts w:hint="cs"/>
          <w:rtl/>
          <w:lang w:bidi="ar-EG"/>
        </w:rPr>
        <w:t>6 -</w:t>
      </w:r>
      <w:r>
        <w:rPr>
          <w:rFonts w:hint="cs"/>
          <w:rtl/>
          <w:lang w:bidi="ar-EG"/>
        </w:rPr>
        <w:tab/>
        <w:t>وفي موضوع التآزر مع الاتفاقات البيئية متعدد الأطراف الأخرى أثنى المشاركون على القرار التاريخي بشأن تعزيز التنسيق والتعاون مع اتفاقيتي بازل وروتردام، ومع ذلك طالبوا بإدراج اتفاقية التنوع البيئي واتفاقية باماكو بشأن حظر استيراد النفايات الخطرة إلى أفريقيا ومراقبة حركتها عبر الحدود وإدارتها ضمن أفريقيا والاتفاقية الإطارية لحماية جبال الكاربات وكفالة تنميتها المستدامة، بين اتفاقيات أخرى. وبالإضافة إلى ذلك ينبغي عرض قضايا المواد الكيميائية على منتديات أخرى رفيعة المستوى داخل الحكومات والمناطق، بما في ذلك الاتحاد الأفريقي.</w:t>
      </w:r>
    </w:p>
    <w:p w:rsidR="0025579A" w:rsidRPr="001C3121" w:rsidRDefault="0025579A" w:rsidP="0025579A">
      <w:pPr>
        <w:spacing w:before="120" w:after="120"/>
        <w:ind w:left="662"/>
        <w:jc w:val="both"/>
        <w:rPr>
          <w:rFonts w:hint="cs"/>
          <w:b/>
          <w:bCs/>
          <w:rtl/>
          <w:lang w:bidi="ar-EG"/>
        </w:rPr>
      </w:pPr>
      <w:r>
        <w:rPr>
          <w:b/>
          <w:bCs/>
          <w:rtl/>
          <w:lang w:bidi="ar-EG"/>
        </w:rPr>
        <w:br w:type="page"/>
      </w:r>
      <w:r>
        <w:rPr>
          <w:rFonts w:hint="cs"/>
          <w:b/>
          <w:bCs/>
          <w:rtl/>
          <w:lang w:bidi="ar-EG"/>
        </w:rPr>
        <w:lastRenderedPageBreak/>
        <w:t>2 -</w:t>
      </w:r>
      <w:r>
        <w:rPr>
          <w:rFonts w:hint="cs"/>
          <w:b/>
          <w:bCs/>
          <w:rtl/>
          <w:lang w:bidi="ar-EG"/>
        </w:rPr>
        <w:tab/>
        <w:t>المراكز المعيَّنة بموجب اتفاقية استكهولم</w:t>
      </w:r>
    </w:p>
    <w:p w:rsidR="0025579A" w:rsidRDefault="0025579A" w:rsidP="0025579A">
      <w:pPr>
        <w:spacing w:after="120"/>
        <w:ind w:left="1327"/>
        <w:jc w:val="both"/>
        <w:rPr>
          <w:rFonts w:hint="cs"/>
          <w:rtl/>
          <w:lang w:bidi="ar-EG"/>
        </w:rPr>
      </w:pPr>
      <w:r>
        <w:rPr>
          <w:rFonts w:hint="cs"/>
          <w:rtl/>
          <w:lang w:bidi="ar-EG"/>
        </w:rPr>
        <w:t>7 -</w:t>
      </w:r>
      <w:r>
        <w:rPr>
          <w:rFonts w:hint="cs"/>
          <w:rtl/>
          <w:lang w:bidi="ar-EG"/>
        </w:rPr>
        <w:tab/>
        <w:t>جرت مناقشة واسعة لدور المراكز الإقليمية بل ودون الإقليمية التابعة للاتفاقية حيث نظر الكثيرون إلى هذه المراكز باعتبارها أدوات مفيدة للغاية في المساعدة على بناء القدرات ونقل التكنولوجيا والتدريب وتوفير الموارد شريطة تزويدها بالموظفين المدرَّبين والمؤهلين. وينبغي أن تساعد هذه المراكز الأطراف في الوفاء باحتياجاتها وباحتياجات المنطقة ككل. ومع أنه ينبغي أن توجد مراكز عديدة فمن المهم أن ينشئ لكل مركز لنفسه موقعاً متخصصاً لتجنُّب أي منافسة للحصول على الأموال أو الموظفين وللسماح بتحقيق تخصصات في مختلف المواضيع. وبهذه الطريقة يمكن لأي طرف أن يلتمس المساعدة من أكثر من مركز وليس من الضروري أن يكون في منطقته، حسب نقاط القوة ونقاط التركيز للمركز المحدَّد. وتحقيقاً لأوجه التآزر أكد المشاركون على ضرورة العمل مع المراكز الإقليمية لاتفاقية بازل وعلى قيام أمانة اتفاقية استكهولم بتوفير دعم إضافي. ويمكن للمراكز المجدية التي تتمتع بدعم سياسي قوي وتقوم بأنشطة ملحوظة أن تساعد في بناء الوعي السياسي والجماهيري وأن تدعم القضايا المتصلة بالمواد الكيميائية.</w:t>
      </w:r>
    </w:p>
    <w:p w:rsidR="0025579A" w:rsidRPr="00653624" w:rsidRDefault="0025579A" w:rsidP="0025579A">
      <w:pPr>
        <w:spacing w:before="120" w:after="120"/>
        <w:ind w:left="662"/>
        <w:jc w:val="both"/>
        <w:rPr>
          <w:rFonts w:hint="cs"/>
          <w:b/>
          <w:bCs/>
          <w:rtl/>
          <w:lang w:bidi="ar-EG"/>
        </w:rPr>
      </w:pPr>
      <w:r w:rsidRPr="00653624">
        <w:rPr>
          <w:rFonts w:hint="cs"/>
          <w:b/>
          <w:bCs/>
          <w:rtl/>
          <w:lang w:bidi="ar-EG"/>
        </w:rPr>
        <w:t>3 -</w:t>
      </w:r>
      <w:r w:rsidRPr="00653624">
        <w:rPr>
          <w:rFonts w:hint="cs"/>
          <w:b/>
          <w:bCs/>
          <w:rtl/>
          <w:lang w:bidi="ar-EG"/>
        </w:rPr>
        <w:tab/>
      </w:r>
      <w:r>
        <w:rPr>
          <w:rFonts w:hint="cs"/>
          <w:b/>
          <w:bCs/>
          <w:rtl/>
          <w:lang w:bidi="ar-EG"/>
        </w:rPr>
        <w:t>خطط التنفيذ الوطنية</w:t>
      </w:r>
    </w:p>
    <w:p w:rsidR="0025579A" w:rsidRDefault="0025579A" w:rsidP="0025579A">
      <w:pPr>
        <w:spacing w:after="120"/>
        <w:ind w:left="1327"/>
        <w:jc w:val="both"/>
        <w:rPr>
          <w:rFonts w:hint="cs"/>
          <w:rtl/>
          <w:lang w:bidi="ar-EG"/>
        </w:rPr>
      </w:pPr>
      <w:r>
        <w:rPr>
          <w:rFonts w:hint="cs"/>
          <w:rtl/>
          <w:lang w:bidi="ar-EG"/>
        </w:rPr>
        <w:t>8 -</w:t>
      </w:r>
      <w:r>
        <w:rPr>
          <w:rFonts w:hint="cs"/>
          <w:rtl/>
          <w:lang w:bidi="ar-EG"/>
        </w:rPr>
        <w:tab/>
        <w:t>قدَّم عدة مشاركين عرضاً موجزاً لتجاربهم في إصدار وتحديث خطط التنفيذ الوطنية الخاصة بهم. وأبديت ملاحظة تقول إن الخطط تتسم بأقصى درجات الأهمية في تنفيذ الاتفاقية، ولكن الأمر يتطلب مزيداً من العمل من أجل إعداد مزيد من الخطط، وتقديمها إلى الأمانة وتحديثها فيما بعد. ولاحظ المشاركون أن الخطط ينبغي أن تستخدم كمخطط أوَّلي لوضع استراتيجية متماسكة لإدارة المواد الكيميائية بحيث تعمل بصورة متماسكة مع الاتفاقيات الأخرى.</w:t>
      </w:r>
    </w:p>
    <w:p w:rsidR="0025579A" w:rsidRPr="00653624" w:rsidRDefault="0025579A" w:rsidP="0025579A">
      <w:pPr>
        <w:spacing w:before="120" w:after="120"/>
        <w:ind w:left="662"/>
        <w:jc w:val="both"/>
        <w:rPr>
          <w:rFonts w:hint="cs"/>
          <w:b/>
          <w:bCs/>
          <w:rtl/>
          <w:lang w:bidi="ar-EG"/>
        </w:rPr>
      </w:pPr>
      <w:r>
        <w:rPr>
          <w:rFonts w:hint="cs"/>
          <w:b/>
          <w:bCs/>
          <w:rtl/>
          <w:lang w:bidi="ar-EG"/>
        </w:rPr>
        <w:t>4</w:t>
      </w:r>
      <w:r w:rsidRPr="00653624">
        <w:rPr>
          <w:rFonts w:hint="cs"/>
          <w:b/>
          <w:bCs/>
          <w:rtl/>
          <w:lang w:bidi="ar-EG"/>
        </w:rPr>
        <w:t xml:space="preserve"> -</w:t>
      </w:r>
      <w:r w:rsidRPr="00653624">
        <w:rPr>
          <w:rFonts w:hint="cs"/>
          <w:b/>
          <w:bCs/>
          <w:rtl/>
          <w:lang w:bidi="ar-EG"/>
        </w:rPr>
        <w:tab/>
      </w:r>
      <w:r>
        <w:rPr>
          <w:rFonts w:hint="cs"/>
          <w:b/>
          <w:bCs/>
          <w:rtl/>
          <w:lang w:bidi="ar-EG"/>
        </w:rPr>
        <w:t>زيادة الوعي</w:t>
      </w:r>
    </w:p>
    <w:p w:rsidR="0025579A" w:rsidRDefault="0025579A" w:rsidP="0025579A">
      <w:pPr>
        <w:spacing w:after="120"/>
        <w:ind w:left="1327"/>
        <w:jc w:val="both"/>
        <w:rPr>
          <w:rFonts w:hint="cs"/>
          <w:rtl/>
          <w:lang w:bidi="ar-EG"/>
        </w:rPr>
      </w:pPr>
      <w:r>
        <w:rPr>
          <w:rFonts w:hint="cs"/>
          <w:rtl/>
          <w:lang w:bidi="ar-EG"/>
        </w:rPr>
        <w:t>9 -</w:t>
      </w:r>
      <w:r>
        <w:rPr>
          <w:rFonts w:hint="cs"/>
          <w:rtl/>
          <w:lang w:bidi="ar-EG"/>
        </w:rPr>
        <w:tab/>
        <w:t xml:space="preserve">اعترف المشاركون بأهمية إثارة الوعي لتنفيذ الاتفاقية وعموماً لمكافحة استخدام وانتشار الملوثات العضوية الثابتة. واعترفوا بأن القضايا المتصلة بالمواد الكيميائية تختفي في كثير من الأحيان في ظل ما يفهم أنه قضايا أكثر أهمية مثل الصحة أو تغيُّر المناخ، وأنه يتعيَّن اتخاذ إجراءات لكفالة حصول هذه القضايا على الاهتمام الذي تستحقه. وفي هذا الصدد تؤدي الوسائط دوراً هاماً (وذلك مثلاً من خلال حملات الإنترنت والتليفزيون والإذاعة والصحافة المطبوعة). ويمكن أن تنشئ البلدان أيضاً مواقعها الشبكية الخاصة بالملوثات العضوية الثابتة للوصول إلى جماهير السكان. ويمكن أن تربط الحملات الإعلامية المواد الكيميائية بمجالات أخرى من أجل زيادة إبراز القضية، مثل إقامة الصلة بين بعض المواد الكيميائية وسرطان الثدي أو تأثير الرصاص على نمو الأطفال. ويمكن أيضاً أن تستخدم هذه الحملات أمثلة يستطيع أن يفهمها الناس مثل التنوع البيولوجي أو تغيُّر المناخ، نظراً لأن الاتفاقية يمكن أن تعتبر معقَّدة وذات طابع تجريدي إلى حد ما. </w:t>
      </w:r>
    </w:p>
    <w:p w:rsidR="0025579A" w:rsidRDefault="0025579A" w:rsidP="0025579A">
      <w:pPr>
        <w:spacing w:after="120"/>
        <w:ind w:left="1327"/>
        <w:jc w:val="both"/>
        <w:rPr>
          <w:rFonts w:hint="cs"/>
          <w:rtl/>
          <w:lang w:bidi="ar-EG"/>
        </w:rPr>
      </w:pPr>
      <w:r>
        <w:rPr>
          <w:rFonts w:hint="cs"/>
          <w:rtl/>
          <w:lang w:bidi="ar-EG"/>
        </w:rPr>
        <w:t>10 -</w:t>
      </w:r>
      <w:r>
        <w:rPr>
          <w:rFonts w:hint="cs"/>
          <w:rtl/>
          <w:lang w:bidi="ar-EG"/>
        </w:rPr>
        <w:tab/>
        <w:t xml:space="preserve">واستشهد أحد المشاركين بمثال </w:t>
      </w:r>
      <w:r w:rsidRPr="00191A17">
        <w:rPr>
          <w:i/>
          <w:iCs/>
        </w:rPr>
        <w:t>Stern</w:t>
      </w:r>
      <w:r w:rsidRPr="00191A17">
        <w:t xml:space="preserve"> </w:t>
      </w:r>
      <w:r w:rsidRPr="00191A17">
        <w:rPr>
          <w:i/>
        </w:rPr>
        <w:t>Review on the Economics of Climate Change</w:t>
      </w:r>
      <w:r>
        <w:rPr>
          <w:rFonts w:hint="cs"/>
          <w:rtl/>
          <w:lang w:bidi="ar-EG"/>
        </w:rPr>
        <w:t xml:space="preserve"> (استعراض ستيرن لاقتصاديات تغيُّر المناخ) وهو تقرير مؤثر بشأن تغيُّر المناخ وأدّى إلى زيادة وعي الجمهور إلى حد كبير بالقضية. وأشير بأنه يمكن أن يؤدي تقرير مشابه عن التدهور البيئي إلى أثر مماثل. </w:t>
      </w:r>
    </w:p>
    <w:p w:rsidR="0025579A" w:rsidRDefault="0025579A" w:rsidP="0025579A">
      <w:pPr>
        <w:spacing w:after="120"/>
        <w:ind w:left="1327"/>
        <w:jc w:val="both"/>
        <w:rPr>
          <w:rFonts w:hint="cs"/>
          <w:rtl/>
          <w:lang w:bidi="ar-EG"/>
        </w:rPr>
      </w:pPr>
      <w:r>
        <w:rPr>
          <w:rFonts w:hint="cs"/>
          <w:rtl/>
          <w:lang w:bidi="ar-EG"/>
        </w:rPr>
        <w:t>11 -</w:t>
      </w:r>
      <w:r>
        <w:rPr>
          <w:rFonts w:hint="cs"/>
          <w:rtl/>
          <w:lang w:bidi="ar-EG"/>
        </w:rPr>
        <w:tab/>
        <w:t xml:space="preserve">وتم التشديد على ضرورة الوصول إلى الناس والمناطق باللغات وبالرموز وأساليب الاتصال التي يعرفونها، وهو ما يتطلب تمويلاً إضافياً. وتم توجيه الانتباه خاصة إلى أن كثيراً من المجتمعات التي تحتاج أكثر من غيرها إلى معلومات عن أخطار الملوثات العضوية الثابتة تعيش في مناطق نائية. وفي هذا الصدد، يمكن أن تساعد المنظمات </w:t>
      </w:r>
      <w:r>
        <w:rPr>
          <w:rFonts w:hint="cs"/>
          <w:rtl/>
          <w:lang w:bidi="ar-EG"/>
        </w:rPr>
        <w:lastRenderedPageBreak/>
        <w:t>الإقليمية ودون الإقليمية في هذا الجهد، وهو ما تستطيعه أيضاً شبكات الحماية المدنية أو المؤسسات المتخصصة مثل الأكاديميات البيئية.</w:t>
      </w:r>
    </w:p>
    <w:p w:rsidR="0025579A" w:rsidRPr="00653624" w:rsidRDefault="0025579A" w:rsidP="0025579A">
      <w:pPr>
        <w:spacing w:before="120" w:after="120"/>
        <w:ind w:left="662"/>
        <w:jc w:val="both"/>
        <w:rPr>
          <w:rFonts w:hint="cs"/>
          <w:b/>
          <w:bCs/>
          <w:rtl/>
          <w:lang w:bidi="ar-EG"/>
        </w:rPr>
      </w:pPr>
      <w:r>
        <w:rPr>
          <w:rFonts w:hint="cs"/>
          <w:b/>
          <w:bCs/>
          <w:rtl/>
          <w:lang w:bidi="ar-EG"/>
        </w:rPr>
        <w:t>5</w:t>
      </w:r>
      <w:r w:rsidRPr="00653624">
        <w:rPr>
          <w:rFonts w:hint="cs"/>
          <w:b/>
          <w:bCs/>
          <w:rtl/>
          <w:lang w:bidi="ar-EG"/>
        </w:rPr>
        <w:t xml:space="preserve"> -</w:t>
      </w:r>
      <w:r w:rsidRPr="00653624">
        <w:rPr>
          <w:rFonts w:hint="cs"/>
          <w:b/>
          <w:bCs/>
          <w:rtl/>
          <w:lang w:bidi="ar-EG"/>
        </w:rPr>
        <w:tab/>
      </w:r>
      <w:r>
        <w:rPr>
          <w:rFonts w:hint="cs"/>
          <w:b/>
          <w:bCs/>
          <w:rtl/>
          <w:lang w:bidi="ar-EG"/>
        </w:rPr>
        <w:t>المشاكل القائمة</w:t>
      </w:r>
    </w:p>
    <w:p w:rsidR="0025579A" w:rsidRDefault="0025579A" w:rsidP="0025579A">
      <w:pPr>
        <w:spacing w:after="120"/>
        <w:ind w:left="1327"/>
        <w:jc w:val="both"/>
        <w:rPr>
          <w:rFonts w:hint="cs"/>
          <w:rtl/>
          <w:lang w:bidi="ar-EG"/>
        </w:rPr>
      </w:pPr>
      <w:r>
        <w:rPr>
          <w:rFonts w:hint="cs"/>
          <w:rtl/>
          <w:lang w:bidi="ar-EG"/>
        </w:rPr>
        <w:t>12 -</w:t>
      </w:r>
      <w:r>
        <w:rPr>
          <w:rFonts w:hint="cs"/>
          <w:rtl/>
          <w:lang w:bidi="ar-EG"/>
        </w:rPr>
        <w:tab/>
        <w:t>كانت المشاكل نقطة رئيسية في المناقشة حيث استشهد المشاركون بنقص التمويل ووضع علامات خاطئة على المواد الكيميائية وتهريب الملوثات نتيجة عدم السيطرة على الحدود والفساد والبيروقراطية الثقيلة والافتقار إلى تكنولوجيا تدمير المخزونات بين مشاكل أخرى. وتم إبراز ضرورة تقييم فعالية الاتفاقية - إذ يوجد خطر من تبديد الموارد والوقت إذا لم تكن الأطراف تعلم إلى أي مدى تسير الاتفاقية بطريقة فعَّالة. ولاحظ المشاركون أيضاً البُعد الاقتصادي الهام الذي ينطوي عليه الموضوع. ففي حين أن بعض المنتجات مثل مادة الـ دي. دي. تي هي مواد ضارة فإنها لا تزال تستعمل في بعض البلدان ولذلك لا يمكن حظرها فوراً بدون أن يثير ذلك مشاكل هامة للمستعملين.</w:t>
      </w:r>
    </w:p>
    <w:p w:rsidR="0025579A" w:rsidRPr="00653624" w:rsidRDefault="0025579A" w:rsidP="0025579A">
      <w:pPr>
        <w:spacing w:before="120" w:after="120"/>
        <w:ind w:left="662"/>
        <w:jc w:val="both"/>
        <w:rPr>
          <w:rFonts w:hint="cs"/>
          <w:b/>
          <w:bCs/>
          <w:rtl/>
          <w:lang w:bidi="ar-EG"/>
        </w:rPr>
      </w:pPr>
      <w:r>
        <w:rPr>
          <w:rFonts w:hint="cs"/>
          <w:b/>
          <w:bCs/>
          <w:rtl/>
          <w:lang w:bidi="ar-EG"/>
        </w:rPr>
        <w:t>6</w:t>
      </w:r>
      <w:r w:rsidRPr="00653624">
        <w:rPr>
          <w:rFonts w:hint="cs"/>
          <w:b/>
          <w:bCs/>
          <w:rtl/>
          <w:lang w:bidi="ar-EG"/>
        </w:rPr>
        <w:t xml:space="preserve"> -</w:t>
      </w:r>
      <w:r w:rsidRPr="00653624">
        <w:rPr>
          <w:rFonts w:hint="cs"/>
          <w:b/>
          <w:bCs/>
          <w:rtl/>
          <w:lang w:bidi="ar-EG"/>
        </w:rPr>
        <w:tab/>
      </w:r>
      <w:r>
        <w:rPr>
          <w:rFonts w:hint="cs"/>
          <w:b/>
          <w:bCs/>
          <w:rtl/>
          <w:lang w:bidi="ar-EG"/>
        </w:rPr>
        <w:t>التمويل</w:t>
      </w:r>
    </w:p>
    <w:p w:rsidR="0025579A" w:rsidRDefault="0025579A" w:rsidP="0025579A">
      <w:pPr>
        <w:spacing w:before="100" w:beforeAutospacing="1" w:after="120"/>
        <w:ind w:left="1327"/>
        <w:jc w:val="both"/>
        <w:rPr>
          <w:rFonts w:hint="cs"/>
          <w:rtl/>
          <w:lang w:bidi="ar-EG"/>
        </w:rPr>
      </w:pPr>
      <w:r>
        <w:rPr>
          <w:rFonts w:hint="cs"/>
          <w:rtl/>
          <w:lang w:bidi="ar-EG"/>
        </w:rPr>
        <w:t>13 -</w:t>
      </w:r>
      <w:r>
        <w:rPr>
          <w:rFonts w:hint="cs"/>
          <w:rtl/>
          <w:lang w:bidi="ar-EG"/>
        </w:rPr>
        <w:tab/>
        <w:t>في موضوع التمويل قدَّم المشاركون عديداً من الاقتراحات بشأن مصادر التمويل مثل بروتوكول مونتريال بشأن المواد المستنفدة لطبقة الأوزون وصندوقه متعدد الأطراف، وآلية التنمية النظيفة، والبنك الدولي، والمصارف الإقليمية والشركات الخاصة. كما جرى التأكيد على الميزانيات الوطنية وعلى وكالات التمويل المحلية داخل البلدان أو المناطق، بدلاً من التماس مساعدة أجنبية. ورحَّبوا بالتمويل المقدَّم من مرفق البيئة العالمية ولكنهم أبرزوا ضرورة إيلاء نظر كافٍ لموضوع الملوثات أثناء العملية الخامسة لتجديد موارد المرفق. وقالوا أيضاً إن إجراءات التمويل التي يتبعها المرفق إجراءات شاقة وأن الوقت اللازم للموافقة على المشاريع يسير ببطء وأن الوصول إلى أموال المرفق يمثِّل مشكلة وخاصة في صدد مفاهيم الزيادة والإضافة.</w:t>
      </w:r>
    </w:p>
    <w:p w:rsidR="0025579A" w:rsidRDefault="0025579A" w:rsidP="0025579A">
      <w:pPr>
        <w:spacing w:before="100" w:beforeAutospacing="1" w:after="120"/>
        <w:ind w:left="1327"/>
        <w:jc w:val="both"/>
        <w:rPr>
          <w:rFonts w:hint="cs"/>
          <w:rtl/>
          <w:lang w:bidi="ar-EG"/>
        </w:rPr>
      </w:pPr>
      <w:r>
        <w:rPr>
          <w:rFonts w:hint="cs"/>
          <w:rtl/>
          <w:lang w:bidi="ar-EG"/>
        </w:rPr>
        <w:t>14 -</w:t>
      </w:r>
      <w:r>
        <w:rPr>
          <w:rFonts w:hint="cs"/>
          <w:rtl/>
          <w:lang w:bidi="ar-EG"/>
        </w:rPr>
        <w:tab/>
        <w:t>وذُكرت قضية كبرى أخرى وهي الأولويات المتنافسة. ونظراً للطلبات على مخصصات الميزانيات الوطنية وعلى مجتمع المانحين بسبب القضايا مثل تغيُّر المناخ، سيكون من المهم التأكد من أن قضية الملوثات العضوية الثابتة لم تسقط على جانب الطريق، نظراً لأن الملوثات هي الأخرى قضية تسبب قلقاً هائلاً على صحة الإنسان والبيئة. وفي هذا الصدد أثير سؤال عما إن كان من الممكن فتح نافذة واحدة للمواد الكيميائية بحيث تستوعب جميع القضايا المتصلة بالمواد الكيميائية، وذلك لتجنُّب المنافسة للحصول على الأموال.</w:t>
      </w:r>
    </w:p>
    <w:p w:rsidR="0025579A" w:rsidRPr="00653624" w:rsidRDefault="0025579A" w:rsidP="0025579A">
      <w:pPr>
        <w:spacing w:before="120" w:after="120"/>
        <w:ind w:left="662"/>
        <w:jc w:val="both"/>
        <w:rPr>
          <w:rFonts w:hint="cs"/>
          <w:b/>
          <w:bCs/>
          <w:rtl/>
          <w:lang w:bidi="ar-EG"/>
        </w:rPr>
      </w:pPr>
      <w:r>
        <w:rPr>
          <w:rFonts w:hint="cs"/>
          <w:b/>
          <w:bCs/>
          <w:rtl/>
          <w:lang w:bidi="ar-EG"/>
        </w:rPr>
        <w:t>7</w:t>
      </w:r>
      <w:r w:rsidRPr="00653624">
        <w:rPr>
          <w:rFonts w:hint="cs"/>
          <w:b/>
          <w:bCs/>
          <w:rtl/>
          <w:lang w:bidi="ar-EG"/>
        </w:rPr>
        <w:t xml:space="preserve"> -</w:t>
      </w:r>
      <w:r w:rsidRPr="00653624">
        <w:rPr>
          <w:rFonts w:hint="cs"/>
          <w:b/>
          <w:bCs/>
          <w:rtl/>
          <w:lang w:bidi="ar-EG"/>
        </w:rPr>
        <w:tab/>
      </w:r>
      <w:r>
        <w:rPr>
          <w:rFonts w:hint="cs"/>
          <w:b/>
          <w:bCs/>
          <w:rtl/>
          <w:lang w:bidi="ar-EG"/>
        </w:rPr>
        <w:t>الاحتياجات العامة</w:t>
      </w:r>
    </w:p>
    <w:p w:rsidR="0025579A" w:rsidRDefault="0025579A" w:rsidP="0025579A">
      <w:pPr>
        <w:spacing w:after="120"/>
        <w:ind w:left="1327"/>
        <w:jc w:val="both"/>
        <w:rPr>
          <w:rFonts w:hint="cs"/>
          <w:rtl/>
          <w:lang w:bidi="ar-EG"/>
        </w:rPr>
      </w:pPr>
      <w:r>
        <w:rPr>
          <w:rFonts w:hint="cs"/>
          <w:rtl/>
          <w:lang w:bidi="ar-EG"/>
        </w:rPr>
        <w:t>15 -</w:t>
      </w:r>
      <w:r>
        <w:rPr>
          <w:rFonts w:hint="cs"/>
          <w:rtl/>
          <w:lang w:bidi="ar-EG"/>
        </w:rPr>
        <w:tab/>
        <w:t>طالب المشاركون بمزيد من بناء القدرات والتدريب في إدارة الملوثات العضوية الثابتة وتحليلات المختبرات وتدريب مسؤولي الجمارك. وتتسم المساعدة التقنية أيضاً بأهمية حاسمة إلى جانب التمويل اللازم للاضطلاع بكل هذه الأنشطة. ويمكن النظر في موضوع الملوثات العضوية الثابتة في إطار جدول الأعمال الأوسع المتصل بالمواد الكيميائية، بالإضافة إلى قضايا تغيُّر المناخ والزئبق والرصاص والكاديوم.</w:t>
      </w:r>
    </w:p>
    <w:p w:rsidR="0025579A" w:rsidRDefault="0025579A" w:rsidP="0025579A">
      <w:pPr>
        <w:spacing w:after="120"/>
        <w:ind w:left="1327"/>
        <w:jc w:val="both"/>
        <w:rPr>
          <w:rFonts w:hint="cs"/>
          <w:rtl/>
          <w:lang w:bidi="ar-EG"/>
        </w:rPr>
      </w:pPr>
      <w:r>
        <w:rPr>
          <w:rFonts w:hint="cs"/>
          <w:rtl/>
          <w:lang w:bidi="ar-EG"/>
        </w:rPr>
        <w:t>16 -</w:t>
      </w:r>
      <w:r>
        <w:rPr>
          <w:rFonts w:hint="cs"/>
          <w:rtl/>
          <w:lang w:bidi="ar-EG"/>
        </w:rPr>
        <w:tab/>
        <w:t>ومن المهم التوصل إلى بدائل للملوثات العضوية الثابتة، ولكن من المهم أيضاً تشجيع السكان المحليين على استعمال هذه البدائل. وينبغي تشجيع البدائل الحيوية والأساليب التقليدية، وينبغي أيضاً توفير وثائق بجميع اللغات وعرضها في الموقع الشبكي للاتفاقية، بغرض الوصول إلى مجموع السكان. وينبغي توفير خدمات الترجمة في حلقات العمل وغيرها من منتديات بناء القدرات.</w:t>
      </w:r>
    </w:p>
    <w:p w:rsidR="0025579A" w:rsidRPr="00653624" w:rsidRDefault="0025579A" w:rsidP="0025579A">
      <w:pPr>
        <w:spacing w:before="120" w:after="120"/>
        <w:ind w:left="662"/>
        <w:jc w:val="both"/>
        <w:rPr>
          <w:rFonts w:hint="cs"/>
          <w:b/>
          <w:bCs/>
          <w:rtl/>
          <w:lang w:bidi="ar-EG"/>
        </w:rPr>
      </w:pPr>
      <w:r>
        <w:rPr>
          <w:rFonts w:hint="cs"/>
          <w:b/>
          <w:bCs/>
          <w:rtl/>
          <w:lang w:bidi="ar-EG"/>
        </w:rPr>
        <w:t>8</w:t>
      </w:r>
      <w:r w:rsidRPr="00653624">
        <w:rPr>
          <w:rFonts w:hint="cs"/>
          <w:b/>
          <w:bCs/>
          <w:rtl/>
          <w:lang w:bidi="ar-EG"/>
        </w:rPr>
        <w:t xml:space="preserve"> -</w:t>
      </w:r>
      <w:r w:rsidRPr="00653624">
        <w:rPr>
          <w:rFonts w:hint="cs"/>
          <w:b/>
          <w:bCs/>
          <w:rtl/>
          <w:lang w:bidi="ar-EG"/>
        </w:rPr>
        <w:tab/>
      </w:r>
      <w:r>
        <w:rPr>
          <w:rFonts w:hint="cs"/>
          <w:b/>
          <w:bCs/>
          <w:rtl/>
          <w:lang w:bidi="ar-EG"/>
        </w:rPr>
        <w:t>الخلاصة</w:t>
      </w:r>
    </w:p>
    <w:p w:rsidR="0025579A" w:rsidRDefault="0025579A" w:rsidP="0025579A">
      <w:pPr>
        <w:spacing w:before="120"/>
        <w:ind w:left="1327"/>
        <w:jc w:val="both"/>
        <w:rPr>
          <w:rFonts w:hint="cs"/>
          <w:rtl/>
          <w:lang w:bidi="ar-EG"/>
        </w:rPr>
      </w:pPr>
      <w:r>
        <w:rPr>
          <w:rFonts w:hint="cs"/>
          <w:rtl/>
          <w:lang w:bidi="ar-EG"/>
        </w:rPr>
        <w:lastRenderedPageBreak/>
        <w:t>17 -</w:t>
      </w:r>
      <w:r>
        <w:rPr>
          <w:rFonts w:hint="cs"/>
          <w:rtl/>
          <w:lang w:bidi="ar-EG"/>
        </w:rPr>
        <w:tab/>
        <w:t>كانت الرسالة الكبرى لمناقشات الأفرقة تتلَّخص في فكرة تقول بأن اعتماد اتفاقية استكهولم يعني أن البلدان قد أعلنت الحرب على الملوثات العضوية الثابتة: وهي حرب لا يتحقَّق النصر فيها إلاّ عندما يتمتع العالم بمستقبل يخلو من هذه الملوثات.</w:t>
      </w:r>
    </w:p>
    <w:p w:rsidR="0025579A" w:rsidRPr="000A395C" w:rsidRDefault="0025579A" w:rsidP="0025579A">
      <w:pPr>
        <w:ind w:left="1327"/>
        <w:jc w:val="center"/>
        <w:rPr>
          <w:rFonts w:hint="cs"/>
          <w:rtl/>
          <w:lang w:bidi="ar-EG"/>
        </w:rPr>
      </w:pPr>
      <w:r>
        <w:rPr>
          <w:rFonts w:hint="cs"/>
          <w:rtl/>
          <w:lang w:bidi="ar-EG"/>
        </w:rPr>
        <w:t>____________</w:t>
      </w:r>
    </w:p>
    <w:p w:rsidR="000B18ED" w:rsidRDefault="000B18ED"/>
    <w:sectPr w:rsidR="000B18ED" w:rsidSect="0025579A">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code="9"/>
      <w:pgMar w:top="851" w:right="851" w:bottom="737" w:left="794" w:header="567" w:footer="68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0B" w:rsidRDefault="00F2580B" w:rsidP="0025579A">
      <w:pPr>
        <w:spacing w:line="240" w:lineRule="auto"/>
      </w:pPr>
      <w:r>
        <w:separator/>
      </w:r>
    </w:p>
  </w:endnote>
  <w:endnote w:type="continuationSeparator" w:id="0">
    <w:p w:rsidR="00F2580B" w:rsidRDefault="00F2580B" w:rsidP="002557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2F0E7E" w:rsidRDefault="00F2580B" w:rsidP="002F0E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2F0E7E" w:rsidRDefault="00F2580B" w:rsidP="002F0E7E">
    <w:pPr>
      <w:pStyle w:val="Footer"/>
      <w:rPr>
        <w:rFonts w:hint="cs"/>
        <w:szCs w:val="17"/>
        <w:rtl/>
      </w:rPr>
    </w:pPr>
    <w:r>
      <w:rPr>
        <w:rStyle w:val="PageNumber"/>
      </w:rPr>
      <w:fldChar w:fldCharType="begin"/>
    </w:r>
    <w:r>
      <w:rPr>
        <w:rStyle w:val="PageNumber"/>
      </w:rPr>
      <w:instrText xml:space="preserve"> PAGE </w:instrText>
    </w:r>
    <w:r>
      <w:rPr>
        <w:rStyle w:val="PageNumber"/>
      </w:rPr>
      <w:fldChar w:fldCharType="separate"/>
    </w:r>
    <w:r w:rsidR="0025579A">
      <w:rPr>
        <w:rStyle w:val="PageNumber"/>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E259C3" w:rsidRDefault="00F2580B" w:rsidP="00C41FE1">
    <w:pPr>
      <w:pStyle w:val="Footer"/>
      <w:spacing w:line="240" w:lineRule="exact"/>
      <w:jc w:val="both"/>
      <w:rPr>
        <w:rFonts w:cs="Times New Roman"/>
        <w:sz w:val="20"/>
        <w:szCs w:val="20"/>
        <w:rtl/>
      </w:rPr>
    </w:pPr>
    <w:r w:rsidRPr="00E259C3">
      <w:rPr>
        <w:rStyle w:val="PageNumber"/>
        <w:rFonts w:cs="Times New Roman"/>
        <w:sz w:val="20"/>
        <w:szCs w:val="20"/>
      </w:rPr>
      <w:fldChar w:fldCharType="begin"/>
    </w:r>
    <w:r w:rsidRPr="00E259C3">
      <w:rPr>
        <w:rStyle w:val="PageNumber"/>
        <w:rFonts w:cs="Times New Roman"/>
        <w:sz w:val="20"/>
        <w:szCs w:val="20"/>
      </w:rPr>
      <w:instrText xml:space="preserve"> PAGE </w:instrText>
    </w:r>
    <w:r w:rsidRPr="00E259C3">
      <w:rPr>
        <w:rStyle w:val="PageNumber"/>
        <w:rFonts w:cs="Times New Roman"/>
        <w:sz w:val="20"/>
        <w:szCs w:val="20"/>
      </w:rPr>
      <w:fldChar w:fldCharType="separate"/>
    </w:r>
    <w:r w:rsidR="0025579A">
      <w:rPr>
        <w:rStyle w:val="PageNumber"/>
        <w:rFonts w:cs="Times New Roman"/>
        <w:sz w:val="20"/>
        <w:szCs w:val="20"/>
      </w:rPr>
      <w:t>1</w:t>
    </w:r>
    <w:r w:rsidRPr="00E259C3">
      <w:rPr>
        <w:rStyle w:val="PageNumber"/>
        <w:rFonts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0B" w:rsidRDefault="00F2580B" w:rsidP="0025579A">
      <w:pPr>
        <w:spacing w:line="240" w:lineRule="auto"/>
      </w:pPr>
      <w:r>
        <w:separator/>
      </w:r>
    </w:p>
  </w:footnote>
  <w:footnote w:type="continuationSeparator" w:id="0">
    <w:p w:rsidR="00F2580B" w:rsidRDefault="00F2580B" w:rsidP="0025579A">
      <w:pPr>
        <w:spacing w:line="240" w:lineRule="auto"/>
      </w:pPr>
      <w:r>
        <w:continuationSeparator/>
      </w:r>
    </w:p>
  </w:footnote>
  <w:footnote w:id="1">
    <w:p w:rsidR="0025579A" w:rsidRPr="00450F72" w:rsidRDefault="0025579A" w:rsidP="0025579A">
      <w:pPr>
        <w:pStyle w:val="FootnoteText"/>
        <w:tabs>
          <w:tab w:val="clear" w:pos="418"/>
          <w:tab w:val="right" w:pos="1195"/>
          <w:tab w:val="left" w:pos="1267"/>
          <w:tab w:val="left" w:pos="1656"/>
          <w:tab w:val="left" w:pos="2088"/>
        </w:tabs>
        <w:ind w:left="1440" w:right="0" w:firstLine="0"/>
        <w:jc w:val="both"/>
        <w:rPr>
          <w:rFonts w:hint="cs"/>
          <w:w w:val="103"/>
          <w:rtl/>
          <w:lang w:bidi="ar-EG"/>
        </w:rPr>
      </w:pPr>
      <w:r w:rsidRPr="00914C26">
        <w:rPr>
          <w:w w:val="103"/>
          <w:rtl/>
          <w:lang w:bidi="ar-EG"/>
        </w:rPr>
        <w:t>(</w:t>
      </w:r>
      <w:r w:rsidRPr="00914C26">
        <w:rPr>
          <w:rStyle w:val="FootnoteReference"/>
          <w:w w:val="103"/>
          <w:rtl/>
        </w:rPr>
        <w:footnoteRef/>
      </w:r>
      <w:r w:rsidRPr="00914C26">
        <w:rPr>
          <w:w w:val="103"/>
          <w:rtl/>
          <w:lang w:bidi="ar-EG"/>
        </w:rPr>
        <w:t>)</w:t>
      </w:r>
      <w:r w:rsidRPr="00914C26">
        <w:rPr>
          <w:w w:val="103"/>
          <w:rtl/>
        </w:rPr>
        <w:tab/>
      </w:r>
      <w:r>
        <w:rPr>
          <w:w w:val="103"/>
          <w:lang w:bidi="ar-EG"/>
        </w:rPr>
        <w:t>UNEP/POPS/COP.4/INF/23/Rev.1</w:t>
      </w:r>
      <w:r>
        <w:rPr>
          <w:rFonts w:hint="cs"/>
          <w:w w:val="103"/>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DB708C" w:rsidRDefault="00F2580B" w:rsidP="00D40F48">
    <w:pPr>
      <w:pStyle w:val="Header"/>
      <w:pBdr>
        <w:bottom w:val="single" w:sz="4" w:space="1" w:color="auto"/>
      </w:pBdr>
      <w:spacing w:after="360" w:line="240" w:lineRule="exact"/>
      <w:jc w:val="right"/>
    </w:pPr>
    <w:r w:rsidRPr="00A85359">
      <w:rPr>
        <w:rFonts w:cs="Times New Roman"/>
        <w:szCs w:val="17"/>
      </w:rPr>
      <w:t>UNEP/POPS/COP.4/38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EA7D57" w:rsidRDefault="00F2580B" w:rsidP="009C0DE2">
    <w:pPr>
      <w:pStyle w:val="Header"/>
      <w:pBdr>
        <w:bottom w:val="single" w:sz="4" w:space="1" w:color="auto"/>
      </w:pBdr>
      <w:tabs>
        <w:tab w:val="clear" w:pos="4320"/>
        <w:tab w:val="clear" w:pos="8640"/>
      </w:tabs>
      <w:spacing w:after="360" w:line="240" w:lineRule="exact"/>
    </w:pPr>
    <w:r w:rsidRPr="00EA7D57">
      <w:rPr>
        <w:rFonts w:cs="Times New Roman"/>
        <w:szCs w:val="17"/>
      </w:rPr>
      <w:t>UNEP/POPS/COP.4/38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8" w:rsidRPr="00A85359" w:rsidRDefault="00F2580B" w:rsidP="00A85359">
    <w:pPr>
      <w:pStyle w:val="Header"/>
      <w:pBdr>
        <w:bottom w:val="single" w:sz="4" w:space="1" w:color="auto"/>
      </w:pBdr>
      <w:spacing w:after="360"/>
      <w:jc w:val="right"/>
    </w:pPr>
    <w:r w:rsidRPr="00A85359">
      <w:rPr>
        <w:rFonts w:cs="Times New Roman"/>
        <w:szCs w:val="17"/>
      </w:rPr>
      <w:t>UNEP/POPS/COP.4/38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numFmt w:val="decimal"/>
    <w:endnote w:id="-1"/>
    <w:endnote w:id="0"/>
  </w:endnotePr>
  <w:compat>
    <w:useFELayout/>
  </w:compat>
  <w:rsids>
    <w:rsidRoot w:val="0025579A"/>
    <w:rsid w:val="000B18ED"/>
    <w:rsid w:val="0025579A"/>
    <w:rsid w:val="00F1796D"/>
    <w:rsid w:val="00F2580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9A"/>
    <w:pPr>
      <w:bidi/>
      <w:spacing w:after="0" w:line="400" w:lineRule="exact"/>
      <w:jc w:val="lowKashida"/>
    </w:pPr>
    <w:rPr>
      <w:rFonts w:ascii="Times New Roman" w:eastAsia="Times New Roman" w:hAnsi="Times New Roman" w:cs="Traditional Arabic"/>
      <w:w w:val="103"/>
      <w:kern w:val="14"/>
      <w:sz w:val="20"/>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
    <w:basedOn w:val="Normal"/>
    <w:link w:val="FootnoteTextChar"/>
    <w:semiHidden/>
    <w:rsid w:val="0025579A"/>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semiHidden/>
    <w:rsid w:val="0025579A"/>
    <w:rPr>
      <w:rFonts w:ascii="Times New Roman" w:eastAsia="Times New Roman" w:hAnsi="Times New Roman" w:cs="Traditional Arabic"/>
      <w:kern w:val="14"/>
      <w:sz w:val="17"/>
      <w:szCs w:val="26"/>
      <w:lang w:val="en-US" w:eastAsia="en-US"/>
    </w:rPr>
  </w:style>
  <w:style w:type="paragraph" w:styleId="Footer">
    <w:name w:val="footer"/>
    <w:link w:val="FooterChar"/>
    <w:rsid w:val="0025579A"/>
    <w:pPr>
      <w:tabs>
        <w:tab w:val="center" w:pos="4320"/>
        <w:tab w:val="right" w:pos="8640"/>
      </w:tabs>
      <w:spacing w:after="0" w:line="210" w:lineRule="exact"/>
    </w:pPr>
    <w:rPr>
      <w:rFonts w:ascii="Times New Roman" w:eastAsia="Times New Roman" w:hAnsi="Times New Roman" w:cs="Traditional Arabic"/>
      <w:b/>
      <w:bCs/>
      <w:noProof/>
      <w:sz w:val="17"/>
      <w:szCs w:val="25"/>
      <w:lang w:val="en-US" w:eastAsia="en-US"/>
    </w:rPr>
  </w:style>
  <w:style w:type="character" w:customStyle="1" w:styleId="FooterChar">
    <w:name w:val="Footer Char"/>
    <w:basedOn w:val="DefaultParagraphFont"/>
    <w:link w:val="Footer"/>
    <w:rsid w:val="0025579A"/>
    <w:rPr>
      <w:rFonts w:ascii="Times New Roman" w:eastAsia="Times New Roman" w:hAnsi="Times New Roman" w:cs="Traditional Arabic"/>
      <w:b/>
      <w:bCs/>
      <w:noProof/>
      <w:sz w:val="17"/>
      <w:szCs w:val="25"/>
      <w:lang w:val="en-US" w:eastAsia="en-US"/>
    </w:rPr>
  </w:style>
  <w:style w:type="character" w:styleId="FootnoteReference">
    <w:name w:val="footnote reference"/>
    <w:basedOn w:val="DefaultParagraphFont"/>
    <w:semiHidden/>
    <w:rsid w:val="0025579A"/>
    <w:rPr>
      <w:rFonts w:ascii="Times New Roman" w:hAnsi="Times New Roman" w:cs="Traditional Arabic"/>
      <w:spacing w:val="-5"/>
      <w:w w:val="100"/>
      <w:position w:val="0"/>
      <w:sz w:val="17"/>
      <w:szCs w:val="26"/>
      <w:vertAlign w:val="superscript"/>
      <w:lang w:val="en-US" w:bidi="ar-SA"/>
    </w:rPr>
  </w:style>
  <w:style w:type="paragraph" w:styleId="Header">
    <w:name w:val="header"/>
    <w:link w:val="HeaderChar"/>
    <w:rsid w:val="0025579A"/>
    <w:pPr>
      <w:tabs>
        <w:tab w:val="center" w:pos="4320"/>
        <w:tab w:val="right" w:pos="8640"/>
      </w:tabs>
      <w:spacing w:after="0" w:line="240" w:lineRule="auto"/>
    </w:pPr>
    <w:rPr>
      <w:rFonts w:ascii="Times New Roman" w:eastAsia="Times New Roman" w:hAnsi="Times New Roman" w:cs="Traditional Arabic"/>
      <w:b/>
      <w:bCs/>
      <w:noProof/>
      <w:w w:val="105"/>
      <w:sz w:val="17"/>
      <w:szCs w:val="25"/>
      <w:lang w:val="en-US" w:eastAsia="en-US"/>
    </w:rPr>
  </w:style>
  <w:style w:type="character" w:customStyle="1" w:styleId="HeaderChar">
    <w:name w:val="Header Char"/>
    <w:basedOn w:val="DefaultParagraphFont"/>
    <w:link w:val="Header"/>
    <w:rsid w:val="0025579A"/>
    <w:rPr>
      <w:rFonts w:ascii="Times New Roman" w:eastAsia="Times New Roman" w:hAnsi="Times New Roman" w:cs="Traditional Arabic"/>
      <w:b/>
      <w:bCs/>
      <w:noProof/>
      <w:w w:val="105"/>
      <w:sz w:val="17"/>
      <w:szCs w:val="25"/>
      <w:lang w:val="en-US" w:eastAsia="en-US"/>
    </w:rPr>
  </w:style>
  <w:style w:type="character" w:styleId="PageNumber">
    <w:name w:val="page number"/>
    <w:basedOn w:val="DefaultParagraphFont"/>
    <w:rsid w:val="00255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2014-11-12T16:03:00Z</dcterms:created>
  <dcterms:modified xsi:type="dcterms:W3CDTF">2014-11-12T16:03:00Z</dcterms:modified>
</cp:coreProperties>
</file>