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45" w:rsidRDefault="00207645" w:rsidP="00207645">
      <w:pPr>
        <w:spacing w:after="120"/>
        <w:ind w:left="1247"/>
        <w:rPr>
          <w:b/>
          <w:szCs w:val="24"/>
          <w:lang w:val="ru-RU"/>
        </w:rPr>
      </w:pPr>
      <w:r>
        <w:rPr>
          <w:b/>
          <w:szCs w:val="24"/>
          <w:lang w:val="ru-RU"/>
        </w:rPr>
        <w:t>СК-3/6:  Текущий обзор и обновление Унифицированного набора инструментальных средств для выявления и количественной оценки выбросов диоксинов и фуранов</w:t>
      </w:r>
    </w:p>
    <w:p w:rsidR="00207645" w:rsidRDefault="00207645" w:rsidP="00207645">
      <w:pPr>
        <w:spacing w:after="120"/>
        <w:ind w:left="1247" w:firstLine="624"/>
        <w:rPr>
          <w:i/>
          <w:sz w:val="20"/>
          <w:lang w:val="ru-RU"/>
        </w:rPr>
      </w:pPr>
      <w:r>
        <w:rPr>
          <w:i/>
          <w:sz w:val="20"/>
          <w:lang w:val="ru-RU"/>
        </w:rPr>
        <w:t>Конференция Сторон</w:t>
      </w:r>
    </w:p>
    <w:p w:rsidR="00207645" w:rsidRDefault="00207645" w:rsidP="00207645">
      <w:pPr>
        <w:spacing w:after="120"/>
        <w:ind w:left="1247" w:firstLine="624"/>
        <w:rPr>
          <w:sz w:val="20"/>
          <w:lang w:val="ru-RU"/>
        </w:rPr>
      </w:pPr>
      <w:r>
        <w:rPr>
          <w:sz w:val="20"/>
          <w:lang w:val="ru-RU"/>
        </w:rPr>
        <w:t>1.</w:t>
      </w:r>
      <w:r>
        <w:rPr>
          <w:sz w:val="20"/>
          <w:lang w:val="ru-RU"/>
        </w:rPr>
        <w:tab/>
      </w:r>
      <w:r>
        <w:rPr>
          <w:i/>
          <w:sz w:val="20"/>
          <w:lang w:val="ru-RU"/>
        </w:rPr>
        <w:t>принимает к сведению</w:t>
      </w:r>
      <w:r>
        <w:rPr>
          <w:sz w:val="20"/>
          <w:lang w:val="ru-RU"/>
        </w:rPr>
        <w:t xml:space="preserve"> реестр экспертов</w:t>
      </w:r>
      <w:r>
        <w:rPr>
          <w:rStyle w:val="FootnoteReference"/>
          <w:sz w:val="20"/>
        </w:rPr>
        <w:footnoteReference w:id="1"/>
      </w:r>
      <w:r>
        <w:rPr>
          <w:sz w:val="20"/>
          <w:lang w:val="ru-RU"/>
        </w:rPr>
        <w:t xml:space="preserve"> Набора инструментальных средств и приветствует доклад совещания экспертов по дальнейшей разработке Унифицированного набора инструментальных средств для выявления и количественной оценки выбросов диоксинов и фуранов</w:t>
      </w:r>
      <w:r>
        <w:rPr>
          <w:rStyle w:val="FootnoteReference"/>
          <w:sz w:val="20"/>
        </w:rPr>
        <w:footnoteReference w:id="2"/>
      </w:r>
      <w:r>
        <w:rPr>
          <w:sz w:val="20"/>
          <w:lang w:val="ru-RU"/>
        </w:rPr>
        <w:t xml:space="preserve">;  </w:t>
      </w:r>
    </w:p>
    <w:p w:rsidR="00207645" w:rsidRDefault="00207645" w:rsidP="00207645">
      <w:pPr>
        <w:spacing w:after="120"/>
        <w:ind w:left="1247" w:firstLine="624"/>
        <w:rPr>
          <w:sz w:val="20"/>
          <w:lang w:val="ru-RU"/>
        </w:rPr>
      </w:pPr>
      <w:r>
        <w:rPr>
          <w:sz w:val="20"/>
          <w:lang w:val="ru-RU"/>
        </w:rPr>
        <w:t>2.</w:t>
      </w:r>
      <w:r>
        <w:rPr>
          <w:sz w:val="20"/>
          <w:lang w:val="ru-RU"/>
        </w:rPr>
        <w:tab/>
      </w:r>
      <w:r>
        <w:rPr>
          <w:i/>
          <w:sz w:val="20"/>
          <w:lang w:val="ru-RU"/>
        </w:rPr>
        <w:t>одобряет</w:t>
      </w:r>
      <w:r>
        <w:rPr>
          <w:sz w:val="20"/>
          <w:lang w:val="ru-RU"/>
        </w:rPr>
        <w:t xml:space="preserve"> процесс проведения в рамках имеющихся ресурсов текущего обзора и обновления Набора инструментальных средств, который изложен в приложении к настоящему решению, и просит секретариат обеспечить реализацию этого процесса и представить доклад о достигнутом прогрессе Конференции Сторон на ее четвертом совещании;  </w:t>
      </w:r>
    </w:p>
    <w:p w:rsidR="00207645" w:rsidRDefault="00207645" w:rsidP="00207645">
      <w:pPr>
        <w:spacing w:after="120"/>
        <w:ind w:left="1247" w:firstLine="624"/>
        <w:rPr>
          <w:sz w:val="20"/>
          <w:lang w:val="ru-RU"/>
        </w:rPr>
      </w:pPr>
      <w:r>
        <w:rPr>
          <w:sz w:val="20"/>
          <w:lang w:val="ru-RU"/>
        </w:rPr>
        <w:t>3.</w:t>
      </w:r>
      <w:r>
        <w:rPr>
          <w:sz w:val="20"/>
          <w:lang w:val="ru-RU"/>
        </w:rPr>
        <w:tab/>
      </w:r>
      <w:r>
        <w:rPr>
          <w:i/>
          <w:sz w:val="20"/>
          <w:lang w:val="ru-RU"/>
        </w:rPr>
        <w:t xml:space="preserve">просит </w:t>
      </w:r>
      <w:r>
        <w:rPr>
          <w:sz w:val="20"/>
          <w:lang w:val="ru-RU"/>
        </w:rPr>
        <w:t xml:space="preserve">секретариат при осуществлении процесса обзора и обновления Набора инструментальных средств уделять должное внимание ключевым источникам, по которым имеются ограниченные данные мониторинга, включая источники гексахлорбензола и полихлорированных дифенилов, и оказывать поддержку развивающимся странам в их усилиях по дальнейшей проверке своих коэффициентов выбросов;  </w:t>
      </w:r>
    </w:p>
    <w:p w:rsidR="00207645" w:rsidRDefault="00207645" w:rsidP="00207645">
      <w:pPr>
        <w:keepNext/>
        <w:spacing w:after="120"/>
        <w:ind w:left="1247" w:firstLine="624"/>
        <w:rPr>
          <w:sz w:val="20"/>
          <w:lang w:val="ru-RU"/>
        </w:rPr>
      </w:pPr>
      <w:r>
        <w:rPr>
          <w:sz w:val="20"/>
          <w:lang w:val="ru-RU"/>
        </w:rPr>
        <w:t>4.</w:t>
      </w:r>
      <w:r>
        <w:rPr>
          <w:sz w:val="20"/>
          <w:lang w:val="ru-RU"/>
        </w:rPr>
        <w:tab/>
      </w:r>
      <w:r>
        <w:rPr>
          <w:i/>
          <w:sz w:val="20"/>
          <w:lang w:val="ru-RU"/>
        </w:rPr>
        <w:t>предлагает</w:t>
      </w:r>
      <w:r>
        <w:rPr>
          <w:sz w:val="20"/>
          <w:lang w:val="ru-RU"/>
        </w:rPr>
        <w:t xml:space="preserve"> Сторонам, государствам, не являющимся Сторонами Конвенции, межправительственным организациям и неправительственным организациям и промышленным кругам:</w:t>
      </w:r>
    </w:p>
    <w:p w:rsidR="00207645" w:rsidRDefault="00207645" w:rsidP="00207645">
      <w:pPr>
        <w:spacing w:after="120"/>
        <w:ind w:left="1247" w:firstLine="624"/>
        <w:rPr>
          <w:sz w:val="20"/>
          <w:lang w:val="ru-RU"/>
        </w:rPr>
      </w:pPr>
      <w:r>
        <w:rPr>
          <w:sz w:val="20"/>
          <w:lang w:val="ru-RU"/>
        </w:rPr>
        <w:tab/>
      </w:r>
      <w:r>
        <w:rPr>
          <w:sz w:val="20"/>
          <w:lang w:val="ru-RU"/>
        </w:rPr>
        <w:tab/>
      </w:r>
      <w:r>
        <w:rPr>
          <w:sz w:val="20"/>
          <w:lang w:val="en-US"/>
        </w:rPr>
        <w:t>a</w:t>
      </w:r>
      <w:r>
        <w:rPr>
          <w:sz w:val="20"/>
          <w:lang w:val="ru-RU"/>
        </w:rPr>
        <w:t>)</w:t>
      </w:r>
      <w:r>
        <w:rPr>
          <w:sz w:val="20"/>
          <w:lang w:val="ru-RU"/>
        </w:rPr>
        <w:tab/>
        <w:t xml:space="preserve">осуществлять сбор соответствующих данных и информации по химическим веществам, включенным в приложение </w:t>
      </w:r>
      <w:r>
        <w:rPr>
          <w:sz w:val="20"/>
          <w:lang w:val="en-US"/>
        </w:rPr>
        <w:t>C</w:t>
      </w:r>
      <w:r>
        <w:rPr>
          <w:sz w:val="20"/>
          <w:lang w:val="ru-RU"/>
        </w:rPr>
        <w:t xml:space="preserve">, как это определено в рамках процесса обзора и обновления Набора инструментальных средств, и представлять такие данные и информацию секретариату;  </w:t>
      </w:r>
    </w:p>
    <w:p w:rsidR="00207645" w:rsidRDefault="00207645" w:rsidP="00207645">
      <w:pPr>
        <w:spacing w:after="120"/>
        <w:ind w:left="1247" w:firstLine="624"/>
        <w:rPr>
          <w:sz w:val="20"/>
          <w:lang w:val="ru-RU"/>
        </w:rPr>
      </w:pPr>
      <w:r>
        <w:rPr>
          <w:sz w:val="20"/>
          <w:lang w:val="ru-RU"/>
        </w:rPr>
        <w:tab/>
      </w:r>
      <w:r>
        <w:rPr>
          <w:sz w:val="20"/>
          <w:lang w:val="ru-RU"/>
        </w:rPr>
        <w:tab/>
      </w:r>
      <w:r>
        <w:rPr>
          <w:sz w:val="20"/>
          <w:lang w:val="en-US"/>
        </w:rPr>
        <w:t>b</w:t>
      </w:r>
      <w:r>
        <w:rPr>
          <w:sz w:val="20"/>
          <w:lang w:val="ru-RU"/>
        </w:rPr>
        <w:t>)</w:t>
      </w:r>
      <w:r>
        <w:rPr>
          <w:sz w:val="20"/>
          <w:lang w:val="ru-RU"/>
        </w:rPr>
        <w:tab/>
        <w:t xml:space="preserve">активно участвовать в реализации процесса проведения обзора и обновления Набора инструментальных средств;  </w:t>
      </w:r>
    </w:p>
    <w:p w:rsidR="00207645" w:rsidRDefault="00207645" w:rsidP="00207645">
      <w:pPr>
        <w:spacing w:after="240"/>
        <w:ind w:left="1247" w:firstLine="624"/>
        <w:rPr>
          <w:sz w:val="20"/>
          <w:lang w:val="ru-RU"/>
        </w:rPr>
      </w:pPr>
      <w:r>
        <w:rPr>
          <w:sz w:val="20"/>
          <w:lang w:val="ru-RU"/>
        </w:rPr>
        <w:tab/>
      </w:r>
      <w:r>
        <w:rPr>
          <w:sz w:val="20"/>
          <w:lang w:val="ru-RU"/>
        </w:rPr>
        <w:tab/>
      </w:r>
      <w:r>
        <w:rPr>
          <w:sz w:val="20"/>
          <w:lang w:val="en-US"/>
        </w:rPr>
        <w:t>c</w:t>
      </w:r>
      <w:r>
        <w:rPr>
          <w:sz w:val="20"/>
          <w:lang w:val="ru-RU"/>
        </w:rPr>
        <w:t>)</w:t>
      </w:r>
      <w:r>
        <w:rPr>
          <w:sz w:val="20"/>
          <w:lang w:val="ru-RU"/>
        </w:rPr>
        <w:tab/>
        <w:t>предоставлять финансовые средства в поддержку выполнения работы, изложенной в настоящем пункте и пункте 1 выше, если они имеют такую возможность.</w:t>
      </w:r>
    </w:p>
    <w:p w:rsidR="00207645" w:rsidRDefault="00207645" w:rsidP="00207645">
      <w:pPr>
        <w:spacing w:after="120"/>
        <w:rPr>
          <w:b/>
          <w:szCs w:val="24"/>
          <w:lang w:val="ru-RU"/>
        </w:rPr>
      </w:pPr>
      <w:r>
        <w:rPr>
          <w:b/>
          <w:szCs w:val="24"/>
          <w:lang w:val="ru-RU"/>
        </w:rPr>
        <w:t>Приложение к решению СК-3/6</w:t>
      </w:r>
    </w:p>
    <w:p w:rsidR="00207645" w:rsidRDefault="00207645" w:rsidP="00207645">
      <w:pPr>
        <w:spacing w:after="120"/>
        <w:ind w:left="1247"/>
        <w:rPr>
          <w:b/>
          <w:szCs w:val="24"/>
          <w:lang w:val="ru-RU"/>
        </w:rPr>
      </w:pPr>
      <w:r>
        <w:rPr>
          <w:b/>
          <w:szCs w:val="24"/>
          <w:lang w:val="ru-RU"/>
        </w:rPr>
        <w:t>Процесс проведения текущего обзора и обновления Унифицированного набора инструментальных средств для идентификации и количественной оценки выбросов диоксинов и фуранов</w:t>
      </w:r>
    </w:p>
    <w:p w:rsidR="00207645" w:rsidRDefault="00207645" w:rsidP="00207645">
      <w:pPr>
        <w:spacing w:after="120"/>
        <w:ind w:left="1247"/>
        <w:rPr>
          <w:b/>
          <w:szCs w:val="24"/>
          <w:lang w:val="ru-RU"/>
        </w:rPr>
      </w:pPr>
      <w:r>
        <w:rPr>
          <w:b/>
          <w:szCs w:val="24"/>
          <w:lang w:val="ru-RU"/>
        </w:rPr>
        <w:t>Введение</w:t>
      </w:r>
    </w:p>
    <w:p w:rsidR="00207645" w:rsidRDefault="00207645" w:rsidP="00207645">
      <w:pPr>
        <w:spacing w:after="240"/>
        <w:ind w:left="1247"/>
        <w:rPr>
          <w:sz w:val="20"/>
          <w:lang w:val="ru-RU"/>
        </w:rPr>
      </w:pPr>
      <w:r>
        <w:rPr>
          <w:sz w:val="20"/>
          <w:lang w:val="ru-RU"/>
        </w:rPr>
        <w:t>1.</w:t>
      </w:r>
      <w:r>
        <w:rPr>
          <w:sz w:val="20"/>
          <w:lang w:val="ru-RU"/>
        </w:rPr>
        <w:tab/>
        <w:t>Во исполнение просьбы Конференции Сторон, изложенной в ее решении СК-2/5, секретариат Стокгольмской конвенции совместно с Сектором по химическим веществам Отдела технологии, промышленности и экономики Программы Организации Объединенных Наций по окружающей среде (подразделение ЮНЕП по химическим веществам) организовал совещание экспертов с целью дальнейшей проработки Набора инструментальных средств.  Совещание было проведено 13</w:t>
      </w:r>
      <w:r>
        <w:rPr>
          <w:sz w:val="20"/>
          <w:lang w:val="ru-RU"/>
        </w:rPr>
        <w:noBreakHyphen/>
        <w:t xml:space="preserve">15 декабря 2006 года.  Для участия в этом совещании секретариатом на основе критериев, изложенных в решении СК-2/5, и с учетом принципа географического распределения были отобраны специалисты из нового составленного реестра экспертов Набора инструментальных средств (см. документ </w:t>
      </w:r>
      <w:r>
        <w:rPr>
          <w:sz w:val="20"/>
        </w:rPr>
        <w:t>UNEP</w:t>
      </w:r>
      <w:r>
        <w:rPr>
          <w:sz w:val="20"/>
          <w:lang w:val="ru-RU"/>
        </w:rPr>
        <w:t>/</w:t>
      </w:r>
      <w:r>
        <w:rPr>
          <w:sz w:val="20"/>
        </w:rPr>
        <w:t>POPS</w:t>
      </w:r>
      <w:r>
        <w:rPr>
          <w:sz w:val="20"/>
          <w:lang w:val="ru-RU"/>
        </w:rPr>
        <w:t>/</w:t>
      </w:r>
      <w:r>
        <w:rPr>
          <w:sz w:val="20"/>
        </w:rPr>
        <w:t>COP</w:t>
      </w:r>
      <w:r>
        <w:rPr>
          <w:sz w:val="20"/>
          <w:lang w:val="ru-RU"/>
        </w:rPr>
        <w:t>.3/</w:t>
      </w:r>
      <w:r>
        <w:rPr>
          <w:sz w:val="20"/>
          <w:lang w:val="en-US"/>
        </w:rPr>
        <w:t>INF</w:t>
      </w:r>
      <w:r>
        <w:rPr>
          <w:sz w:val="20"/>
          <w:lang w:val="ru-RU"/>
        </w:rPr>
        <w:t xml:space="preserve">/24).  Были также приглашены представители как природоохранных, так и промышленных неправительственных </w:t>
      </w:r>
      <w:r>
        <w:rPr>
          <w:sz w:val="20"/>
          <w:lang w:val="ru-RU"/>
        </w:rPr>
        <w:lastRenderedPageBreak/>
        <w:t xml:space="preserve">организаций.  Кроме того, подразделением ЮНЕП по химическим веществам была определена дополнительная группа экспертов для оказания экспертной поддержки по специализированным вопросам, касающимся измерения диоксинов или определения коэффициентов выбросов.  Участникам этого совещания предстояло рассмотреть следующие основные вопросы:  i)  возможные элементы открытого и транспарентного процесса проведения текущего обзора и обновления Набора инструментальных средств;  ii)  резюме итогов работы двух совещаний экспертов, которые были проведены по категории 6 - открытое сжигание биомассы и отходов;  iii)  определение коэффициентов выбросов в случае сжигания биомассы и ископаемых видов топлива на электростанциях, в котельных и на небольших установках.  Доклад о работе этого совещания приводится в документе </w:t>
      </w:r>
      <w:r>
        <w:rPr>
          <w:sz w:val="20"/>
        </w:rPr>
        <w:t>UNEP</w:t>
      </w:r>
      <w:r>
        <w:rPr>
          <w:sz w:val="20"/>
          <w:lang w:val="ru-RU"/>
        </w:rPr>
        <w:t>/</w:t>
      </w:r>
      <w:r>
        <w:rPr>
          <w:sz w:val="20"/>
        </w:rPr>
        <w:t>POPS</w:t>
      </w:r>
      <w:r>
        <w:rPr>
          <w:sz w:val="20"/>
          <w:lang w:val="ru-RU"/>
        </w:rPr>
        <w:t>/</w:t>
      </w:r>
      <w:r>
        <w:rPr>
          <w:sz w:val="20"/>
        </w:rPr>
        <w:t>COP</w:t>
      </w:r>
      <w:r>
        <w:rPr>
          <w:sz w:val="20"/>
          <w:lang w:val="ru-RU"/>
        </w:rPr>
        <w:t>.3/</w:t>
      </w:r>
      <w:r>
        <w:rPr>
          <w:sz w:val="20"/>
          <w:lang w:val="en-US"/>
        </w:rPr>
        <w:t>INF</w:t>
      </w:r>
      <w:r>
        <w:rPr>
          <w:sz w:val="20"/>
          <w:lang w:val="ru-RU"/>
        </w:rPr>
        <w:t>/6.</w:t>
      </w:r>
    </w:p>
    <w:p w:rsidR="00207645" w:rsidRDefault="00207645" w:rsidP="00207645">
      <w:pPr>
        <w:spacing w:after="120"/>
        <w:ind w:left="1247"/>
        <w:rPr>
          <w:b/>
          <w:sz w:val="20"/>
          <w:lang w:val="ru-RU"/>
        </w:rPr>
      </w:pPr>
      <w:r>
        <w:rPr>
          <w:b/>
          <w:sz w:val="20"/>
          <w:lang w:val="ru-RU"/>
        </w:rPr>
        <w:t>Процесс проведения текущего обзора и обновления Унифицированного набора инструментальных средств для идентификации и количественной оценки выбросов диоксинов и фуранов</w:t>
      </w:r>
    </w:p>
    <w:p w:rsidR="00207645" w:rsidRDefault="00207645" w:rsidP="00207645">
      <w:pPr>
        <w:spacing w:after="240"/>
        <w:ind w:left="1247"/>
        <w:rPr>
          <w:sz w:val="20"/>
          <w:lang w:val="ru-RU"/>
        </w:rPr>
      </w:pPr>
      <w:r>
        <w:rPr>
          <w:sz w:val="20"/>
          <w:lang w:val="ru-RU"/>
        </w:rPr>
        <w:t>2.</w:t>
      </w:r>
      <w:r>
        <w:rPr>
          <w:sz w:val="20"/>
          <w:lang w:val="ru-RU"/>
        </w:rPr>
        <w:tab/>
        <w:t xml:space="preserve">Ниже кратко изложено предложение относительно открытого, транспарентного и всеобъемлющего процесса проведения текущего обзора и обновления Набора инструментальных средств, которое было рекомендовано участниками совещания по Набору инструментальных средств.  Оно состоит из следующих элементов:  </w:t>
      </w:r>
      <w:r>
        <w:rPr>
          <w:i/>
          <w:sz w:val="20"/>
          <w:lang w:val="ru-RU"/>
        </w:rPr>
        <w:t>общие задачи</w:t>
      </w:r>
      <w:r>
        <w:rPr>
          <w:sz w:val="20"/>
          <w:lang w:val="ru-RU"/>
        </w:rPr>
        <w:t xml:space="preserve">, которые будут выполняться в рамках процесса проведения обзора и обновления Набора инструментальных средств;  </w:t>
      </w:r>
      <w:r>
        <w:rPr>
          <w:i/>
          <w:sz w:val="20"/>
          <w:lang w:val="ru-RU"/>
        </w:rPr>
        <w:t>заинтересованные субъекты</w:t>
      </w:r>
      <w:r>
        <w:rPr>
          <w:sz w:val="20"/>
          <w:lang w:val="ru-RU"/>
        </w:rPr>
        <w:t xml:space="preserve">, которые будут участвовать в реализации этого процесса;  </w:t>
      </w:r>
      <w:r>
        <w:rPr>
          <w:i/>
          <w:sz w:val="20"/>
          <w:lang w:val="ru-RU"/>
        </w:rPr>
        <w:t>мероприятия</w:t>
      </w:r>
      <w:r>
        <w:rPr>
          <w:sz w:val="20"/>
          <w:lang w:val="ru-RU"/>
        </w:rPr>
        <w:t xml:space="preserve">, </w:t>
      </w:r>
      <w:r>
        <w:rPr>
          <w:i/>
          <w:sz w:val="20"/>
          <w:lang w:val="ru-RU"/>
        </w:rPr>
        <w:t>процедуры</w:t>
      </w:r>
      <w:r>
        <w:rPr>
          <w:sz w:val="20"/>
          <w:lang w:val="ru-RU"/>
        </w:rPr>
        <w:t xml:space="preserve"> и </w:t>
      </w:r>
      <w:r>
        <w:rPr>
          <w:i/>
          <w:sz w:val="20"/>
          <w:lang w:val="ru-RU"/>
        </w:rPr>
        <w:t>конкретные задачи</w:t>
      </w:r>
      <w:r>
        <w:rPr>
          <w:sz w:val="20"/>
          <w:lang w:val="ru-RU"/>
        </w:rPr>
        <w:t xml:space="preserve">, подлежащие осуществлению в ходе этого процесса, наряду с функциями, которые предстоит осуществлять тем или иным заинтересованным субъектам;  а также </w:t>
      </w:r>
      <w:r>
        <w:rPr>
          <w:i/>
          <w:sz w:val="20"/>
          <w:lang w:val="ru-RU"/>
        </w:rPr>
        <w:t>периодичность</w:t>
      </w:r>
      <w:r>
        <w:rPr>
          <w:sz w:val="20"/>
          <w:lang w:val="ru-RU"/>
        </w:rPr>
        <w:t xml:space="preserve">, с которой будут выполняться конкретные мероприятия и задачи.  </w:t>
      </w:r>
    </w:p>
    <w:p w:rsidR="00207645" w:rsidRDefault="00207645" w:rsidP="00207645">
      <w:pPr>
        <w:spacing w:after="120"/>
        <w:ind w:left="1247"/>
        <w:rPr>
          <w:b/>
          <w:sz w:val="20"/>
          <w:lang w:val="ru-RU"/>
        </w:rPr>
      </w:pPr>
      <w:r>
        <w:rPr>
          <w:b/>
          <w:sz w:val="20"/>
          <w:lang w:val="ru-RU"/>
        </w:rPr>
        <w:t>Общие задачи</w:t>
      </w:r>
    </w:p>
    <w:p w:rsidR="00207645" w:rsidRDefault="00207645" w:rsidP="00207645">
      <w:pPr>
        <w:spacing w:after="120"/>
        <w:ind w:left="1247"/>
        <w:rPr>
          <w:sz w:val="20"/>
          <w:lang w:val="ru-RU"/>
        </w:rPr>
      </w:pPr>
      <w:r>
        <w:rPr>
          <w:sz w:val="20"/>
          <w:lang w:val="ru-RU"/>
        </w:rPr>
        <w:t>3.</w:t>
      </w:r>
      <w:r>
        <w:rPr>
          <w:sz w:val="20"/>
          <w:lang w:val="ru-RU"/>
        </w:rPr>
        <w:tab/>
        <w:t>В пунктах 3 и 6 решения СК-2/5 изложены следующие общие задачи, которые будут выполняться в рамках процесса проведения обзора и обновления Набора инструментальных средств:</w:t>
      </w:r>
    </w:p>
    <w:p w:rsidR="00207645" w:rsidRDefault="00207645" w:rsidP="00207645">
      <w:pPr>
        <w:spacing w:after="120"/>
        <w:ind w:left="1247"/>
        <w:rPr>
          <w:sz w:val="20"/>
          <w:lang w:val="ru-RU"/>
        </w:rPr>
      </w:pPr>
      <w:r>
        <w:rPr>
          <w:sz w:val="20"/>
          <w:lang w:val="ru-RU"/>
        </w:rPr>
        <w:tab/>
      </w:r>
      <w:r>
        <w:rPr>
          <w:sz w:val="20"/>
          <w:lang w:val="ru-RU"/>
        </w:rPr>
        <w:tab/>
        <w:t>а)</w:t>
      </w:r>
      <w:r>
        <w:rPr>
          <w:sz w:val="20"/>
          <w:lang w:val="ru-RU"/>
        </w:rPr>
        <w:tab/>
        <w:t>проверка коэффициентов выбросов;</w:t>
      </w:r>
    </w:p>
    <w:p w:rsidR="00207645" w:rsidRDefault="00207645" w:rsidP="00207645">
      <w:pPr>
        <w:spacing w:after="120"/>
        <w:ind w:left="1247"/>
        <w:rPr>
          <w:sz w:val="20"/>
          <w:lang w:val="ru-RU"/>
        </w:rPr>
      </w:pPr>
      <w:r>
        <w:rPr>
          <w:sz w:val="20"/>
          <w:lang w:val="ru-RU"/>
        </w:rPr>
        <w:tab/>
      </w:r>
      <w:r>
        <w:rPr>
          <w:sz w:val="20"/>
          <w:lang w:val="ru-RU"/>
        </w:rPr>
        <w:tab/>
        <w:t>b)</w:t>
      </w:r>
      <w:r>
        <w:rPr>
          <w:sz w:val="20"/>
          <w:lang w:val="ru-RU"/>
        </w:rPr>
        <w:tab/>
        <w:t>устранение имеющихся в Наборе пробелов, в частности в том, что касается:</w:t>
      </w:r>
    </w:p>
    <w:p w:rsidR="00207645" w:rsidRDefault="00207645" w:rsidP="00207645">
      <w:pPr>
        <w:tabs>
          <w:tab w:val="right" w:pos="2495"/>
        </w:tabs>
        <w:spacing w:after="120"/>
        <w:ind w:left="3119" w:hanging="3119"/>
        <w:rPr>
          <w:sz w:val="20"/>
          <w:lang w:val="ru-RU"/>
        </w:rPr>
      </w:pPr>
      <w:r>
        <w:rPr>
          <w:sz w:val="20"/>
          <w:lang w:val="ru-RU"/>
        </w:rPr>
        <w:tab/>
        <w:t>i)</w:t>
      </w:r>
      <w:r>
        <w:rPr>
          <w:sz w:val="20"/>
          <w:lang w:val="ru-RU"/>
        </w:rPr>
        <w:tab/>
        <w:t>улучшения показателей коэффициентов выбросов, которые характерны для технологий, широко используемых в развивающихся странах;</w:t>
      </w:r>
    </w:p>
    <w:p w:rsidR="00207645" w:rsidRDefault="00207645" w:rsidP="00207645">
      <w:pPr>
        <w:tabs>
          <w:tab w:val="right" w:pos="2495"/>
        </w:tabs>
        <w:spacing w:after="120"/>
        <w:ind w:left="3119" w:hanging="3119"/>
        <w:rPr>
          <w:sz w:val="20"/>
          <w:lang w:val="ru-RU"/>
        </w:rPr>
      </w:pPr>
      <w:r>
        <w:rPr>
          <w:sz w:val="20"/>
          <w:lang w:val="ru-RU"/>
        </w:rPr>
        <w:tab/>
        <w:t>ii)</w:t>
      </w:r>
      <w:r>
        <w:rPr>
          <w:sz w:val="20"/>
          <w:lang w:val="ru-RU"/>
        </w:rPr>
        <w:tab/>
        <w:t>устранения пробелов в отношении коэффициентов выбросов по гексахлорбензолу (ГХБ) и полихлорированным дифенилам (ПХД);</w:t>
      </w:r>
    </w:p>
    <w:p w:rsidR="00207645" w:rsidRDefault="00207645" w:rsidP="00207645">
      <w:pPr>
        <w:spacing w:after="120"/>
        <w:ind w:left="1247"/>
        <w:rPr>
          <w:sz w:val="20"/>
          <w:lang w:val="ru-RU"/>
        </w:rPr>
      </w:pPr>
      <w:r>
        <w:rPr>
          <w:sz w:val="20"/>
          <w:lang w:val="ru-RU"/>
        </w:rPr>
        <w:tab/>
      </w:r>
      <w:r>
        <w:rPr>
          <w:sz w:val="20"/>
          <w:lang w:val="ru-RU"/>
        </w:rPr>
        <w:tab/>
        <w:t>с)</w:t>
      </w:r>
      <w:r>
        <w:rPr>
          <w:sz w:val="20"/>
          <w:lang w:val="ru-RU"/>
        </w:rPr>
        <w:tab/>
        <w:t>обеспечение того, чтобы Набор инструментальных средств в целом стал более полезным и удобным в пользовании, особенно для развивающихся стран и стран с переходной экономикой;</w:t>
      </w:r>
    </w:p>
    <w:p w:rsidR="00207645" w:rsidRDefault="00207645" w:rsidP="00207645">
      <w:pPr>
        <w:spacing w:after="120"/>
        <w:ind w:left="1247"/>
        <w:rPr>
          <w:sz w:val="20"/>
          <w:lang w:val="ru-RU"/>
        </w:rPr>
      </w:pPr>
      <w:r>
        <w:rPr>
          <w:sz w:val="20"/>
          <w:lang w:val="ru-RU"/>
        </w:rPr>
        <w:tab/>
      </w:r>
      <w:r>
        <w:rPr>
          <w:sz w:val="20"/>
          <w:lang w:val="ru-RU"/>
        </w:rPr>
        <w:tab/>
      </w:r>
      <w:r>
        <w:rPr>
          <w:sz w:val="20"/>
          <w:lang w:val="en-US"/>
        </w:rPr>
        <w:t>d</w:t>
      </w:r>
      <w:r>
        <w:rPr>
          <w:sz w:val="20"/>
          <w:lang w:val="ru-RU"/>
        </w:rPr>
        <w:t>)</w:t>
      </w:r>
      <w:r>
        <w:rPr>
          <w:sz w:val="20"/>
          <w:lang w:val="ru-RU"/>
        </w:rPr>
        <w:tab/>
        <w:t>обучение навыкам применения Набора инструментальных средств.</w:t>
      </w:r>
    </w:p>
    <w:p w:rsidR="00207645" w:rsidRDefault="00207645" w:rsidP="00207645">
      <w:pPr>
        <w:spacing w:after="240"/>
        <w:ind w:left="1247"/>
        <w:rPr>
          <w:sz w:val="20"/>
          <w:lang w:val="ru-RU"/>
        </w:rPr>
      </w:pPr>
      <w:r>
        <w:rPr>
          <w:sz w:val="20"/>
          <w:lang w:val="ru-RU"/>
        </w:rPr>
        <w:t>4.</w:t>
      </w:r>
      <w:r>
        <w:rPr>
          <w:sz w:val="20"/>
          <w:lang w:val="ru-RU"/>
        </w:rPr>
        <w:tab/>
        <w:t>Процедуры детализации задач и мероприятий, подлежащие выполнению в приоритетном порядке в течение определенного периода времени, изложены в пунктах 15 а)-</w:t>
      </w:r>
      <w:r>
        <w:rPr>
          <w:sz w:val="20"/>
          <w:lang w:val="en-US"/>
        </w:rPr>
        <w:t>h</w:t>
      </w:r>
      <w:r>
        <w:rPr>
          <w:sz w:val="20"/>
          <w:lang w:val="ru-RU"/>
        </w:rPr>
        <w:t>) ниже.</w:t>
      </w:r>
    </w:p>
    <w:p w:rsidR="00207645" w:rsidRDefault="00207645" w:rsidP="00207645">
      <w:pPr>
        <w:keepNext/>
        <w:spacing w:after="120"/>
        <w:ind w:left="1247"/>
        <w:rPr>
          <w:b/>
          <w:sz w:val="20"/>
          <w:lang w:val="ru-RU"/>
        </w:rPr>
      </w:pPr>
      <w:r>
        <w:rPr>
          <w:b/>
          <w:sz w:val="20"/>
          <w:lang w:val="ru-RU"/>
        </w:rPr>
        <w:t>Заинтересованные субъекты</w:t>
      </w:r>
    </w:p>
    <w:p w:rsidR="00207645" w:rsidRDefault="00207645" w:rsidP="00207645">
      <w:pPr>
        <w:spacing w:after="120"/>
        <w:ind w:left="1247"/>
        <w:rPr>
          <w:sz w:val="20"/>
          <w:lang w:val="ru-RU"/>
        </w:rPr>
      </w:pPr>
      <w:r>
        <w:rPr>
          <w:sz w:val="20"/>
          <w:lang w:val="ru-RU"/>
        </w:rPr>
        <w:t>5.</w:t>
      </w:r>
      <w:r>
        <w:rPr>
          <w:sz w:val="20"/>
          <w:lang w:val="ru-RU"/>
        </w:rPr>
        <w:tab/>
        <w:t xml:space="preserve">Руководствуясь общими принципами, определяющими участие в реализации процесса проведения обзора и обновления Набора инструментальных средств, которые изложены в пункте 4 решения СК-2/5, секретариат предложил Сторонам и другим субъектам назначить экспертов, с которыми, по мере необходимости, будут проводиться консультации в ходе процесса разработки Набора инструментальных средств.  Эти специалисты включены в реестр экспертов Набора инструментальных средств.  </w:t>
      </w:r>
    </w:p>
    <w:p w:rsidR="00207645" w:rsidRDefault="00207645" w:rsidP="00207645">
      <w:pPr>
        <w:spacing w:after="120"/>
        <w:ind w:left="1247"/>
        <w:rPr>
          <w:sz w:val="20"/>
          <w:lang w:val="ru-RU"/>
        </w:rPr>
      </w:pPr>
      <w:r>
        <w:rPr>
          <w:sz w:val="20"/>
          <w:lang w:val="ru-RU"/>
        </w:rPr>
        <w:lastRenderedPageBreak/>
        <w:t>6.</w:t>
      </w:r>
      <w:r>
        <w:rPr>
          <w:sz w:val="20"/>
          <w:lang w:val="ru-RU"/>
        </w:rPr>
        <w:tab/>
        <w:t xml:space="preserve">Все назначенные Сторонами и другими субъектами эксперты, которые включены в реестр экспертов Набора инструментальных средств (эксперты Набора инструментальных средств), будут участвовать в реализации процесса проведения обзора и обновления Набора инструментальных средств, по крайней мере, по каналам электронной почты.  </w:t>
      </w:r>
    </w:p>
    <w:p w:rsidR="00207645" w:rsidRDefault="00207645" w:rsidP="00207645">
      <w:pPr>
        <w:spacing w:after="120"/>
        <w:ind w:left="1247"/>
        <w:rPr>
          <w:sz w:val="20"/>
          <w:lang w:val="ru-RU"/>
        </w:rPr>
      </w:pPr>
      <w:r>
        <w:rPr>
          <w:sz w:val="20"/>
          <w:lang w:val="ru-RU"/>
        </w:rPr>
        <w:t>7.</w:t>
      </w:r>
      <w:r>
        <w:rPr>
          <w:sz w:val="20"/>
          <w:lang w:val="ru-RU"/>
        </w:rPr>
        <w:tab/>
        <w:t xml:space="preserve">Реестр экспертов Набора инструментальных средств должен быть открыт для его пополнения новыми специалистами.  </w:t>
      </w:r>
    </w:p>
    <w:p w:rsidR="00207645" w:rsidRDefault="00207645" w:rsidP="00207645">
      <w:pPr>
        <w:spacing w:after="120"/>
        <w:ind w:left="1247"/>
        <w:rPr>
          <w:sz w:val="20"/>
          <w:lang w:val="ru-RU"/>
        </w:rPr>
      </w:pPr>
      <w:r>
        <w:rPr>
          <w:sz w:val="20"/>
          <w:lang w:val="ru-RU"/>
        </w:rPr>
        <w:t>8.</w:t>
      </w:r>
      <w:r>
        <w:rPr>
          <w:sz w:val="20"/>
          <w:lang w:val="ru-RU"/>
        </w:rPr>
        <w:tab/>
        <w:t>Представители Сторон, отобранные из этого реестра (до 25</w:t>
      </w:r>
      <w:r>
        <w:rPr>
          <w:sz w:val="20"/>
          <w:lang w:val="ru-RU"/>
        </w:rPr>
        <w:noBreakHyphen/>
        <w:t>30 представителей), могут приглашаться секретариатом для участия в совещаниях экспертов по Набору инструментальных средств.  Участники будут отбираться с учетом конкретных тематических вопросов, по которым проводится совещание, и областей специализации экспертов, а также исходя из принципов географического распределения и сбаланасированности между развитыми и развивающимися странами</w:t>
      </w:r>
      <w:r>
        <w:rPr>
          <w:rStyle w:val="FootnoteReference"/>
        </w:rPr>
        <w:footnoteReference w:id="3"/>
      </w:r>
      <w:r>
        <w:rPr>
          <w:sz w:val="20"/>
          <w:lang w:val="ru-RU"/>
        </w:rPr>
        <w:t xml:space="preserve">.  </w:t>
      </w:r>
    </w:p>
    <w:p w:rsidR="00207645" w:rsidRDefault="00207645" w:rsidP="00207645">
      <w:pPr>
        <w:spacing w:after="120"/>
        <w:ind w:left="1247"/>
        <w:rPr>
          <w:sz w:val="20"/>
          <w:lang w:val="ru-RU"/>
        </w:rPr>
      </w:pPr>
      <w:r>
        <w:rPr>
          <w:sz w:val="20"/>
          <w:lang w:val="ru-RU"/>
        </w:rPr>
        <w:t>9.</w:t>
      </w:r>
      <w:r>
        <w:rPr>
          <w:sz w:val="20"/>
          <w:lang w:val="ru-RU"/>
        </w:rPr>
        <w:tab/>
        <w:t xml:space="preserve">Дополнительно могут приглашаться специалисты (до 5 человек) для оказания экспертных консультативных услуг по специальным вопросам, касающимся определенных тематических направлений, подлежащих обсуждению, в тех случаях, когда такие области специализации не представлены экспертами, включенными в реестр экспертов Набора инструментальных средств.  </w:t>
      </w:r>
    </w:p>
    <w:p w:rsidR="00207645" w:rsidRDefault="00207645" w:rsidP="00207645">
      <w:pPr>
        <w:spacing w:after="240"/>
        <w:ind w:left="1247"/>
        <w:rPr>
          <w:sz w:val="20"/>
          <w:lang w:val="ru-RU"/>
        </w:rPr>
      </w:pPr>
      <w:r>
        <w:rPr>
          <w:sz w:val="20"/>
          <w:lang w:val="ru-RU"/>
        </w:rPr>
        <w:t>10.</w:t>
      </w:r>
      <w:r>
        <w:rPr>
          <w:sz w:val="20"/>
          <w:lang w:val="ru-RU"/>
        </w:rPr>
        <w:tab/>
        <w:t xml:space="preserve">Совещания экспертов по Набору инструментальных средств должны быть открыты для наблюдателей;  вместе с тем общее число участников совещания не должно превышать 35.  </w:t>
      </w:r>
    </w:p>
    <w:p w:rsidR="00207645" w:rsidRDefault="00207645" w:rsidP="00207645">
      <w:pPr>
        <w:spacing w:after="120"/>
        <w:ind w:left="1247"/>
        <w:rPr>
          <w:b/>
          <w:sz w:val="20"/>
          <w:lang w:val="ru-RU"/>
        </w:rPr>
      </w:pPr>
      <w:r>
        <w:rPr>
          <w:b/>
          <w:sz w:val="20"/>
          <w:lang w:val="ru-RU"/>
        </w:rPr>
        <w:t>Процедуры, мероприятия и конкретные задачи</w:t>
      </w:r>
    </w:p>
    <w:p w:rsidR="00207645" w:rsidRDefault="00207645" w:rsidP="00207645">
      <w:pPr>
        <w:spacing w:after="120"/>
        <w:ind w:left="1247"/>
        <w:rPr>
          <w:sz w:val="20"/>
          <w:lang w:val="ru-RU"/>
        </w:rPr>
      </w:pPr>
      <w:r>
        <w:rPr>
          <w:sz w:val="20"/>
          <w:lang w:val="ru-RU"/>
        </w:rPr>
        <w:t>11.</w:t>
      </w:r>
      <w:r>
        <w:rPr>
          <w:sz w:val="20"/>
          <w:lang w:val="ru-RU"/>
        </w:rPr>
        <w:tab/>
        <w:t>Процесс проведения обзора и обновления Набора инструментальных средств должен осуществляться по инициативе Сторон.  В рамках реестра экспертов Набора инструментальных средств могут создаваться возглавляемые Сторонами по их инициативе группы экспертов по конкретным категориям источников или задачам (например, разработка критериев в отношении качества данных).</w:t>
      </w:r>
    </w:p>
    <w:p w:rsidR="00207645" w:rsidRDefault="00207645" w:rsidP="00207645">
      <w:pPr>
        <w:spacing w:after="120"/>
        <w:ind w:left="1247"/>
        <w:rPr>
          <w:sz w:val="20"/>
          <w:lang w:val="ru-RU"/>
        </w:rPr>
      </w:pPr>
      <w:r>
        <w:rPr>
          <w:sz w:val="20"/>
          <w:lang w:val="ru-RU"/>
        </w:rPr>
        <w:t>12.</w:t>
      </w:r>
      <w:r>
        <w:rPr>
          <w:sz w:val="20"/>
          <w:lang w:val="ru-RU"/>
        </w:rPr>
        <w:tab/>
        <w:t>Секретариат в сотрудничестве с подразделением ЮНЕП по химическим веществам будет организовывать этот процесс и оказывать ему содействие, как это изложено в пунктах 13-18 ниже.</w:t>
      </w:r>
    </w:p>
    <w:p w:rsidR="00207645" w:rsidRDefault="00207645" w:rsidP="00207645">
      <w:pPr>
        <w:spacing w:after="120"/>
        <w:ind w:left="1247"/>
        <w:rPr>
          <w:sz w:val="20"/>
          <w:lang w:val="ru-RU"/>
        </w:rPr>
      </w:pPr>
      <w:r>
        <w:rPr>
          <w:sz w:val="20"/>
          <w:lang w:val="ru-RU"/>
        </w:rPr>
        <w:t>13.</w:t>
      </w:r>
      <w:r>
        <w:rPr>
          <w:sz w:val="20"/>
          <w:lang w:val="ru-RU"/>
        </w:rPr>
        <w:tab/>
        <w:t>Сторонам и другим субъектам будет предложено осуществлять сбор соответствующих данных и информации по химическим веществам, включенным в приложение С, в плане оказания содействия реализации процесса проведения текущего обзора и обновления Набора инструментальных средств и предоставлять такую информацию секретариату.</w:t>
      </w:r>
    </w:p>
    <w:p w:rsidR="00207645" w:rsidRDefault="00207645" w:rsidP="00207645">
      <w:pPr>
        <w:spacing w:after="120"/>
        <w:ind w:left="1247"/>
        <w:rPr>
          <w:sz w:val="20"/>
          <w:lang w:val="ru-RU"/>
        </w:rPr>
      </w:pPr>
      <w:r>
        <w:rPr>
          <w:sz w:val="20"/>
          <w:lang w:val="ru-RU"/>
        </w:rPr>
        <w:t>14.</w:t>
      </w:r>
      <w:r>
        <w:rPr>
          <w:sz w:val="20"/>
          <w:lang w:val="ru-RU"/>
        </w:rPr>
        <w:tab/>
        <w:t>На регулярной основе будет проводиться сбор, резюмирование и представление информации для рассмотрения экспертами Набора инструментальных средств.  В частности, могут рассматриваться следующие источники информации:</w:t>
      </w:r>
    </w:p>
    <w:p w:rsidR="00207645" w:rsidRDefault="00207645" w:rsidP="00207645">
      <w:pPr>
        <w:spacing w:after="120"/>
        <w:ind w:left="1247"/>
        <w:rPr>
          <w:sz w:val="20"/>
          <w:lang w:val="ru-RU"/>
        </w:rPr>
      </w:pPr>
      <w:r>
        <w:rPr>
          <w:sz w:val="20"/>
          <w:lang w:val="ru-RU"/>
        </w:rPr>
        <w:tab/>
      </w:r>
      <w:r>
        <w:rPr>
          <w:sz w:val="20"/>
          <w:lang w:val="ru-RU"/>
        </w:rPr>
        <w:tab/>
        <w:t>а)</w:t>
      </w:r>
      <w:r>
        <w:rPr>
          <w:sz w:val="20"/>
          <w:lang w:val="ru-RU"/>
        </w:rPr>
        <w:tab/>
        <w:t>соответствующая информация, представленная Сторонами и другими субъектами;</w:t>
      </w:r>
    </w:p>
    <w:p w:rsidR="00207645" w:rsidRDefault="00207645" w:rsidP="00207645">
      <w:pPr>
        <w:spacing w:after="120"/>
        <w:ind w:left="1247"/>
        <w:rPr>
          <w:sz w:val="20"/>
          <w:lang w:val="ru-RU"/>
        </w:rPr>
      </w:pPr>
      <w:r>
        <w:rPr>
          <w:sz w:val="20"/>
          <w:lang w:val="ru-RU"/>
        </w:rPr>
        <w:tab/>
      </w:r>
      <w:r>
        <w:rPr>
          <w:sz w:val="20"/>
          <w:lang w:val="ru-RU"/>
        </w:rPr>
        <w:tab/>
        <w:t>b)</w:t>
      </w:r>
      <w:r>
        <w:rPr>
          <w:sz w:val="20"/>
          <w:lang w:val="ru-RU"/>
        </w:rPr>
        <w:tab/>
        <w:t>результаты проведения поиска имеющихся недавно выпущенных печатных материалов;</w:t>
      </w:r>
    </w:p>
    <w:p w:rsidR="00207645" w:rsidRDefault="00207645" w:rsidP="00207645">
      <w:pPr>
        <w:spacing w:after="120"/>
        <w:ind w:left="1247"/>
        <w:rPr>
          <w:sz w:val="20"/>
          <w:lang w:val="ru-RU"/>
        </w:rPr>
      </w:pPr>
      <w:r>
        <w:rPr>
          <w:sz w:val="20"/>
          <w:lang w:val="ru-RU"/>
        </w:rPr>
        <w:tab/>
      </w:r>
      <w:r>
        <w:rPr>
          <w:sz w:val="20"/>
          <w:lang w:val="ru-RU"/>
        </w:rPr>
        <w:tab/>
        <w:t>с)</w:t>
      </w:r>
      <w:r>
        <w:rPr>
          <w:sz w:val="20"/>
          <w:lang w:val="ru-RU"/>
        </w:rPr>
        <w:tab/>
        <w:t>результаты осуществления ЮНЕП возможных мероприятий, направленных на проверку/определение новых коэффициентов выбросов.</w:t>
      </w:r>
    </w:p>
    <w:p w:rsidR="00207645" w:rsidRDefault="00207645" w:rsidP="00207645">
      <w:pPr>
        <w:spacing w:after="120"/>
        <w:ind w:left="1247"/>
        <w:rPr>
          <w:sz w:val="20"/>
          <w:lang w:val="ru-RU"/>
        </w:rPr>
      </w:pPr>
      <w:r>
        <w:rPr>
          <w:sz w:val="20"/>
          <w:lang w:val="ru-RU"/>
        </w:rPr>
        <w:t>15.</w:t>
      </w:r>
      <w:r>
        <w:rPr>
          <w:sz w:val="20"/>
          <w:lang w:val="ru-RU"/>
        </w:rPr>
        <w:tab/>
        <w:t>Эксперты Набора инструментальных средств должны выполнять, в частности, следующие задачи и мероприятия:</w:t>
      </w:r>
    </w:p>
    <w:p w:rsidR="00207645" w:rsidRDefault="00207645" w:rsidP="00207645">
      <w:pPr>
        <w:spacing w:after="120"/>
        <w:ind w:left="1247"/>
        <w:rPr>
          <w:sz w:val="20"/>
          <w:lang w:val="ru-RU"/>
        </w:rPr>
      </w:pPr>
      <w:r>
        <w:rPr>
          <w:sz w:val="20"/>
          <w:lang w:val="ru-RU"/>
        </w:rPr>
        <w:tab/>
      </w:r>
      <w:r>
        <w:rPr>
          <w:sz w:val="20"/>
          <w:lang w:val="ru-RU"/>
        </w:rPr>
        <w:tab/>
        <w:t>а)</w:t>
      </w:r>
      <w:r>
        <w:rPr>
          <w:sz w:val="20"/>
          <w:lang w:val="ru-RU"/>
        </w:rPr>
        <w:tab/>
        <w:t>анализ и оценка представляемой им информации, в том числе той, которая содержится в существующем выпуске Набора инструментальных средств;</w:t>
      </w:r>
    </w:p>
    <w:p w:rsidR="00207645" w:rsidRDefault="00207645" w:rsidP="00207645">
      <w:pPr>
        <w:spacing w:after="120"/>
        <w:ind w:left="1247"/>
        <w:rPr>
          <w:sz w:val="20"/>
          <w:lang w:val="ru-RU"/>
        </w:rPr>
      </w:pPr>
      <w:r>
        <w:rPr>
          <w:sz w:val="20"/>
          <w:lang w:val="ru-RU"/>
        </w:rPr>
        <w:lastRenderedPageBreak/>
        <w:tab/>
      </w:r>
      <w:r>
        <w:rPr>
          <w:sz w:val="20"/>
          <w:lang w:val="ru-RU"/>
        </w:rPr>
        <w:tab/>
        <w:t>b)</w:t>
      </w:r>
      <w:r>
        <w:rPr>
          <w:sz w:val="20"/>
          <w:lang w:val="ru-RU"/>
        </w:rPr>
        <w:tab/>
        <w:t>выявление сохраняющихся недостатков и пробелов, согласование приоритетов и вынесение предложений относительно проведения мероприятий по улучшению существующего положения дел;</w:t>
      </w:r>
    </w:p>
    <w:p w:rsidR="00207645" w:rsidRDefault="00207645" w:rsidP="00207645">
      <w:pPr>
        <w:spacing w:after="120"/>
        <w:ind w:left="1247"/>
        <w:rPr>
          <w:sz w:val="20"/>
          <w:lang w:val="ru-RU"/>
        </w:rPr>
      </w:pPr>
      <w:r>
        <w:rPr>
          <w:sz w:val="20"/>
          <w:lang w:val="ru-RU"/>
        </w:rPr>
        <w:tab/>
      </w:r>
      <w:r>
        <w:rPr>
          <w:sz w:val="20"/>
          <w:lang w:val="ru-RU"/>
        </w:rPr>
        <w:tab/>
        <w:t>с)</w:t>
      </w:r>
      <w:r>
        <w:rPr>
          <w:sz w:val="20"/>
          <w:lang w:val="ru-RU"/>
        </w:rPr>
        <w:tab/>
        <w:t>определение возможных мероприятий, направленных на обеспечение того, чтобы Набор инструментальных средств в целом стал более полезным и удобным в пользовании, особенно для развивающихся стран и стран с переходной экономикой;</w:t>
      </w:r>
    </w:p>
    <w:p w:rsidR="00207645" w:rsidRDefault="00207645" w:rsidP="00207645">
      <w:pPr>
        <w:spacing w:after="120"/>
        <w:ind w:left="1247"/>
        <w:rPr>
          <w:sz w:val="20"/>
          <w:lang w:val="ru-RU"/>
        </w:rPr>
      </w:pPr>
      <w:r>
        <w:rPr>
          <w:sz w:val="20"/>
          <w:lang w:val="ru-RU"/>
        </w:rPr>
        <w:tab/>
      </w:r>
      <w:r>
        <w:rPr>
          <w:sz w:val="20"/>
          <w:lang w:val="ru-RU"/>
        </w:rPr>
        <w:tab/>
      </w:r>
      <w:r>
        <w:rPr>
          <w:sz w:val="20"/>
          <w:lang w:val="en-US"/>
        </w:rPr>
        <w:t>d</w:t>
      </w:r>
      <w:r>
        <w:rPr>
          <w:sz w:val="20"/>
          <w:lang w:val="ru-RU"/>
        </w:rPr>
        <w:t>)</w:t>
      </w:r>
      <w:r>
        <w:rPr>
          <w:sz w:val="20"/>
          <w:lang w:val="ru-RU"/>
        </w:rPr>
        <w:tab/>
        <w:t>разработка подробного плана работы и графика осуществления процесса пересмотра и обновления Набора инструментальных средств на предстоящий период на основе изложенных выше положений;</w:t>
      </w:r>
    </w:p>
    <w:p w:rsidR="00207645" w:rsidRDefault="00207645" w:rsidP="00207645">
      <w:pPr>
        <w:spacing w:after="120"/>
        <w:ind w:left="1247"/>
        <w:rPr>
          <w:sz w:val="20"/>
          <w:lang w:val="ru-RU"/>
        </w:rPr>
      </w:pPr>
      <w:r>
        <w:rPr>
          <w:sz w:val="20"/>
          <w:lang w:val="ru-RU"/>
        </w:rPr>
        <w:tab/>
      </w:r>
      <w:r>
        <w:rPr>
          <w:sz w:val="20"/>
          <w:lang w:val="ru-RU"/>
        </w:rPr>
        <w:tab/>
      </w:r>
      <w:r>
        <w:rPr>
          <w:sz w:val="20"/>
          <w:lang w:val="en-US"/>
        </w:rPr>
        <w:t>e</w:t>
      </w:r>
      <w:r>
        <w:rPr>
          <w:sz w:val="20"/>
          <w:lang w:val="ru-RU"/>
        </w:rPr>
        <w:t>)</w:t>
      </w:r>
      <w:r>
        <w:rPr>
          <w:sz w:val="20"/>
          <w:lang w:val="ru-RU"/>
        </w:rPr>
        <w:tab/>
        <w:t>создание необходимой организационной структуры (группы экспертов);</w:t>
      </w:r>
    </w:p>
    <w:p w:rsidR="00207645" w:rsidRDefault="00207645" w:rsidP="00207645">
      <w:pPr>
        <w:spacing w:after="120"/>
        <w:ind w:left="1247"/>
        <w:rPr>
          <w:sz w:val="20"/>
          <w:lang w:val="ru-RU"/>
        </w:rPr>
      </w:pPr>
      <w:r>
        <w:rPr>
          <w:sz w:val="20"/>
          <w:lang w:val="ru-RU"/>
        </w:rPr>
        <w:tab/>
      </w:r>
      <w:r>
        <w:rPr>
          <w:sz w:val="20"/>
          <w:lang w:val="ru-RU"/>
        </w:rPr>
        <w:tab/>
      </w:r>
      <w:r>
        <w:rPr>
          <w:sz w:val="20"/>
          <w:lang w:val="en-US"/>
        </w:rPr>
        <w:t>f</w:t>
      </w:r>
      <w:r>
        <w:rPr>
          <w:sz w:val="20"/>
          <w:lang w:val="ru-RU"/>
        </w:rPr>
        <w:t>)</w:t>
      </w:r>
      <w:r>
        <w:rPr>
          <w:sz w:val="20"/>
          <w:lang w:val="ru-RU"/>
        </w:rPr>
        <w:tab/>
        <w:t>согласование критериев в отношении качества данных для проверки правильности данных/информации с целью обеспечения того, чтобы в Набор инструментальных средств включалась только научно обоснованная информация;</w:t>
      </w:r>
    </w:p>
    <w:p w:rsidR="00207645" w:rsidRDefault="00207645" w:rsidP="00207645">
      <w:pPr>
        <w:spacing w:after="120"/>
        <w:ind w:left="1247"/>
        <w:rPr>
          <w:sz w:val="20"/>
          <w:lang w:val="ru-RU"/>
        </w:rPr>
      </w:pPr>
      <w:r>
        <w:rPr>
          <w:sz w:val="20"/>
          <w:lang w:val="ru-RU"/>
        </w:rPr>
        <w:tab/>
      </w:r>
      <w:r>
        <w:rPr>
          <w:sz w:val="20"/>
          <w:lang w:val="ru-RU"/>
        </w:rPr>
        <w:tab/>
        <w:t>g)</w:t>
      </w:r>
      <w:r>
        <w:rPr>
          <w:sz w:val="20"/>
          <w:lang w:val="ru-RU"/>
        </w:rPr>
        <w:tab/>
        <w:t>проверка правильности информации и данных - подлежащих включению в Набор инструментальных средств - на основе согласованных критериев в отношении качества данных и подготовка пересмотренных/новых текстов Набора инструментальных средств;</w:t>
      </w:r>
    </w:p>
    <w:p w:rsidR="00207645" w:rsidRDefault="00207645" w:rsidP="00207645">
      <w:pPr>
        <w:spacing w:after="120"/>
        <w:ind w:left="1247"/>
        <w:rPr>
          <w:sz w:val="20"/>
          <w:lang w:val="ru-RU"/>
        </w:rPr>
      </w:pPr>
      <w:r>
        <w:rPr>
          <w:sz w:val="20"/>
          <w:lang w:val="ru-RU"/>
        </w:rPr>
        <w:tab/>
      </w:r>
      <w:r>
        <w:rPr>
          <w:sz w:val="20"/>
          <w:lang w:val="ru-RU"/>
        </w:rPr>
        <w:tab/>
        <w:t>h)</w:t>
      </w:r>
      <w:r>
        <w:rPr>
          <w:sz w:val="20"/>
          <w:lang w:val="ru-RU"/>
        </w:rPr>
        <w:tab/>
        <w:t>анализ имеющихся у Сторон потребностей в области подготовки кадров и создания потенциала для оценки существующих и прогнозируемых выбросов и определения расчетных данных и тенденций по выбросам стойких органических загрязнителей, перечисленных в приложении С, согласно статье 5.</w:t>
      </w:r>
    </w:p>
    <w:p w:rsidR="00207645" w:rsidRDefault="00207645" w:rsidP="00207645">
      <w:pPr>
        <w:spacing w:after="120"/>
        <w:ind w:left="1247"/>
        <w:rPr>
          <w:sz w:val="20"/>
          <w:lang w:val="ru-RU"/>
        </w:rPr>
      </w:pPr>
      <w:r>
        <w:rPr>
          <w:sz w:val="20"/>
          <w:lang w:val="ru-RU"/>
        </w:rPr>
        <w:tab/>
        <w:t>16.</w:t>
      </w:r>
      <w:r>
        <w:rPr>
          <w:sz w:val="20"/>
          <w:lang w:val="ru-RU"/>
        </w:rPr>
        <w:tab/>
        <w:t>Будут организовываться совещания экспертов по Набору инструментальных средств в целях содействия осуществлению мероприятий и выполнению задач, изложенных в пункте 15 выше.</w:t>
      </w:r>
    </w:p>
    <w:p w:rsidR="00207645" w:rsidRDefault="00207645" w:rsidP="00207645">
      <w:pPr>
        <w:spacing w:after="120"/>
        <w:ind w:left="1247"/>
        <w:rPr>
          <w:sz w:val="20"/>
          <w:lang w:val="ru-RU"/>
        </w:rPr>
      </w:pPr>
      <w:r>
        <w:rPr>
          <w:sz w:val="20"/>
          <w:lang w:val="ru-RU"/>
        </w:rPr>
        <w:t>17.</w:t>
      </w:r>
      <w:r>
        <w:rPr>
          <w:sz w:val="20"/>
          <w:lang w:val="ru-RU"/>
        </w:rPr>
        <w:tab/>
        <w:t>Главы Набора инструментальных средств, пересмотренные/более подробно раскрытые группами экспертов, будут распространяться среди всех экспертов Набора инструментальных средств для рассмотрения и вынесения замечаний, после чего к этим материалам можно будет получить доступ через информационно-координационный механизм.  Сторонам и другим субъектам будет предложено ознакомиться с ними и направить свои замечания и предложения.</w:t>
      </w:r>
    </w:p>
    <w:p w:rsidR="00207645" w:rsidRDefault="00207645" w:rsidP="00207645">
      <w:pPr>
        <w:spacing w:after="120"/>
        <w:ind w:left="1247"/>
        <w:rPr>
          <w:sz w:val="20"/>
          <w:lang w:val="ru-RU"/>
        </w:rPr>
      </w:pPr>
      <w:r>
        <w:rPr>
          <w:sz w:val="20"/>
          <w:lang w:val="ru-RU"/>
        </w:rPr>
        <w:t>18.</w:t>
      </w:r>
      <w:r>
        <w:rPr>
          <w:sz w:val="20"/>
          <w:lang w:val="ru-RU"/>
        </w:rPr>
        <w:tab/>
        <w:t>Дополнительно будет поощряться осуществление следующих мероприятий:</w:t>
      </w:r>
    </w:p>
    <w:p w:rsidR="00207645" w:rsidRDefault="00207645" w:rsidP="00207645">
      <w:pPr>
        <w:spacing w:after="120"/>
        <w:ind w:left="1247"/>
        <w:rPr>
          <w:sz w:val="20"/>
          <w:lang w:val="ru-RU"/>
        </w:rPr>
      </w:pPr>
      <w:r>
        <w:rPr>
          <w:sz w:val="20"/>
          <w:lang w:val="ru-RU"/>
        </w:rPr>
        <w:tab/>
      </w:r>
      <w:r>
        <w:rPr>
          <w:sz w:val="20"/>
          <w:lang w:val="ru-RU"/>
        </w:rPr>
        <w:tab/>
        <w:t>а)</w:t>
      </w:r>
      <w:r>
        <w:rPr>
          <w:sz w:val="20"/>
          <w:lang w:val="ru-RU"/>
        </w:rPr>
        <w:tab/>
        <w:t>совместное использование и обмен информацией по каналам информационно</w:t>
      </w:r>
      <w:r>
        <w:rPr>
          <w:sz w:val="20"/>
          <w:lang w:val="ru-RU"/>
        </w:rPr>
        <w:noBreakHyphen/>
        <w:t>координационного механизма;</w:t>
      </w:r>
    </w:p>
    <w:p w:rsidR="00207645" w:rsidRDefault="00207645" w:rsidP="00207645">
      <w:pPr>
        <w:spacing w:after="120"/>
        <w:ind w:left="1247"/>
        <w:rPr>
          <w:sz w:val="20"/>
          <w:lang w:val="ru-RU"/>
        </w:rPr>
      </w:pPr>
      <w:r>
        <w:rPr>
          <w:sz w:val="20"/>
          <w:lang w:val="ru-RU"/>
        </w:rPr>
        <w:tab/>
      </w:r>
      <w:r>
        <w:rPr>
          <w:sz w:val="20"/>
          <w:lang w:val="ru-RU"/>
        </w:rPr>
        <w:tab/>
        <w:t>b)</w:t>
      </w:r>
      <w:r>
        <w:rPr>
          <w:sz w:val="20"/>
          <w:lang w:val="ru-RU"/>
        </w:rPr>
        <w:tab/>
        <w:t>местные инициативы в области получения и сбора данных;</w:t>
      </w:r>
    </w:p>
    <w:p w:rsidR="00207645" w:rsidRDefault="00207645" w:rsidP="00207645">
      <w:pPr>
        <w:spacing w:after="120"/>
        <w:ind w:left="1247"/>
        <w:rPr>
          <w:sz w:val="20"/>
          <w:lang w:val="ru-RU"/>
        </w:rPr>
      </w:pPr>
      <w:r>
        <w:rPr>
          <w:sz w:val="20"/>
          <w:lang w:val="ru-RU"/>
        </w:rPr>
        <w:tab/>
      </w:r>
      <w:r>
        <w:rPr>
          <w:sz w:val="20"/>
          <w:lang w:val="ru-RU"/>
        </w:rPr>
        <w:tab/>
        <w:t>с)</w:t>
      </w:r>
      <w:r>
        <w:rPr>
          <w:sz w:val="20"/>
          <w:lang w:val="ru-RU"/>
        </w:rPr>
        <w:tab/>
        <w:t>совместные мероприятия и проекты, осуществляемые развитыми и развивающимися странами;</w:t>
      </w:r>
    </w:p>
    <w:p w:rsidR="00207645" w:rsidRDefault="00207645" w:rsidP="00207645">
      <w:pPr>
        <w:spacing w:after="240"/>
        <w:ind w:left="1247"/>
        <w:rPr>
          <w:sz w:val="20"/>
          <w:lang w:val="ru-RU"/>
        </w:rPr>
      </w:pPr>
      <w:r>
        <w:rPr>
          <w:sz w:val="20"/>
          <w:lang w:val="ru-RU"/>
        </w:rPr>
        <w:tab/>
      </w:r>
      <w:r>
        <w:rPr>
          <w:sz w:val="20"/>
          <w:lang w:val="ru-RU"/>
        </w:rPr>
        <w:tab/>
      </w:r>
      <w:r>
        <w:rPr>
          <w:sz w:val="20"/>
          <w:lang w:val="en-US"/>
        </w:rPr>
        <w:t>d</w:t>
      </w:r>
      <w:r>
        <w:rPr>
          <w:sz w:val="20"/>
          <w:lang w:val="ru-RU"/>
        </w:rPr>
        <w:t>)</w:t>
      </w:r>
      <w:r>
        <w:rPr>
          <w:sz w:val="20"/>
          <w:lang w:val="ru-RU"/>
        </w:rPr>
        <w:tab/>
        <w:t>синергические связи между мероприятиями, касающимися положений статьи 5 и приложения С (кадастры выбросов и НИМ/НПД).</w:t>
      </w:r>
    </w:p>
    <w:p w:rsidR="00207645" w:rsidRDefault="00207645" w:rsidP="00207645">
      <w:pPr>
        <w:keepNext/>
        <w:spacing w:after="120"/>
        <w:ind w:left="1247"/>
        <w:rPr>
          <w:b/>
          <w:sz w:val="20"/>
          <w:lang w:val="ru-RU"/>
        </w:rPr>
      </w:pPr>
      <w:r>
        <w:rPr>
          <w:b/>
          <w:sz w:val="20"/>
          <w:lang w:val="ru-RU"/>
        </w:rPr>
        <w:t>Периодичность</w:t>
      </w:r>
    </w:p>
    <w:p w:rsidR="00207645" w:rsidRDefault="00207645" w:rsidP="00207645">
      <w:pPr>
        <w:spacing w:after="120"/>
        <w:ind w:left="1247"/>
        <w:rPr>
          <w:sz w:val="20"/>
          <w:lang w:val="ru-RU"/>
        </w:rPr>
      </w:pPr>
      <w:r>
        <w:rPr>
          <w:sz w:val="20"/>
          <w:lang w:val="ru-RU"/>
        </w:rPr>
        <w:t>19.</w:t>
      </w:r>
      <w:r>
        <w:rPr>
          <w:sz w:val="20"/>
          <w:lang w:val="ru-RU"/>
        </w:rPr>
        <w:tab/>
        <w:t>Конференция Сторон признает, что Набор инструментальных средств должен быть "живым" документом, и определяет в своем решении СК-2/5, что процесс проведения обзора и обновления Набора инструментальных средств носит непрерывный характер.</w:t>
      </w:r>
    </w:p>
    <w:p w:rsidR="00207645" w:rsidRDefault="00207645" w:rsidP="00207645">
      <w:pPr>
        <w:spacing w:after="120"/>
        <w:ind w:left="1247"/>
        <w:rPr>
          <w:sz w:val="20"/>
          <w:lang w:val="ru-RU"/>
        </w:rPr>
      </w:pPr>
      <w:r>
        <w:rPr>
          <w:sz w:val="20"/>
          <w:lang w:val="ru-RU"/>
        </w:rPr>
        <w:t>20.</w:t>
      </w:r>
      <w:r>
        <w:rPr>
          <w:sz w:val="20"/>
          <w:lang w:val="ru-RU"/>
        </w:rPr>
        <w:tab/>
        <w:t>Совещания экспертов по Набору инструментальных средств должны организовываться на ежегодной основе, по крайней мере, до четвертого совещания Конференции Сторон.  Вместе с тем в межсессионный период работа должна продолжаться с помощью электронных средств, с решением организационных вопросов руководителями групп экспертов и при содействии секретариата.</w:t>
      </w:r>
    </w:p>
    <w:p w:rsidR="00207645" w:rsidRDefault="00207645" w:rsidP="00207645">
      <w:pPr>
        <w:spacing w:after="120"/>
        <w:ind w:left="1247"/>
        <w:rPr>
          <w:sz w:val="20"/>
          <w:lang w:val="ru-RU"/>
        </w:rPr>
      </w:pPr>
      <w:r>
        <w:rPr>
          <w:sz w:val="20"/>
          <w:lang w:val="ru-RU"/>
        </w:rPr>
        <w:t>21.</w:t>
      </w:r>
      <w:r>
        <w:rPr>
          <w:sz w:val="20"/>
          <w:lang w:val="ru-RU"/>
        </w:rPr>
        <w:tab/>
        <w:t xml:space="preserve">С пересмотренными и согласованными главами Набора инструментальных средств можно будет ознакомиться с помощью информационно-координационного </w:t>
      </w:r>
      <w:r>
        <w:rPr>
          <w:sz w:val="20"/>
          <w:lang w:val="ru-RU"/>
        </w:rPr>
        <w:lastRenderedPageBreak/>
        <w:t>механизма (см. пункт 17 выше).  Следующий полный пересмотренный вариант Набора инструментальных средств будет представлен для рассмотрения Конференцией Сторон на ее четвертом совещании.</w:t>
      </w:r>
    </w:p>
    <w:p w:rsidR="00207645" w:rsidRDefault="00207645" w:rsidP="00207645">
      <w:pPr>
        <w:spacing w:after="240"/>
        <w:ind w:left="1247"/>
        <w:rPr>
          <w:sz w:val="20"/>
          <w:lang w:val="ru-RU"/>
        </w:rPr>
      </w:pPr>
      <w:r>
        <w:rPr>
          <w:sz w:val="20"/>
          <w:lang w:val="ru-RU"/>
        </w:rPr>
        <w:t>22.</w:t>
      </w:r>
      <w:r>
        <w:rPr>
          <w:sz w:val="20"/>
          <w:lang w:val="ru-RU"/>
        </w:rPr>
        <w:tab/>
        <w:t xml:space="preserve">Конференция Сторон на своем четвертом совещании определит целесообразность дальнейшей реализации процесса проведения обзора и обновления Набора инструментальных средств согласно изложенным выше положениям или же примет решение о внесении в него тех или иных изменений.  </w:t>
      </w:r>
    </w:p>
    <w:p w:rsidR="000B18ED" w:rsidRPr="00207645" w:rsidRDefault="000B18ED">
      <w:pPr>
        <w:rPr>
          <w:lang w:val="ru-RU"/>
        </w:rPr>
      </w:pPr>
    </w:p>
    <w:sectPr w:rsidR="000B18ED" w:rsidRPr="00207645"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60" w:rsidRDefault="00DA5460" w:rsidP="00207645">
      <w:r>
        <w:separator/>
      </w:r>
    </w:p>
  </w:endnote>
  <w:endnote w:type="continuationSeparator" w:id="0">
    <w:p w:rsidR="00DA5460" w:rsidRDefault="00DA5460" w:rsidP="00207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60" w:rsidRDefault="00DA5460" w:rsidP="00207645">
      <w:r>
        <w:separator/>
      </w:r>
    </w:p>
  </w:footnote>
  <w:footnote w:type="continuationSeparator" w:id="0">
    <w:p w:rsidR="00DA5460" w:rsidRDefault="00DA5460" w:rsidP="00207645">
      <w:r>
        <w:continuationSeparator/>
      </w:r>
    </w:p>
  </w:footnote>
  <w:footnote w:id="1">
    <w:p w:rsidR="00207645" w:rsidRDefault="00207645" w:rsidP="00207645">
      <w:pPr>
        <w:pStyle w:val="FootnoteText"/>
        <w:rPr>
          <w:lang w:val="en-US"/>
        </w:rPr>
      </w:pPr>
      <w:r>
        <w:rPr>
          <w:rStyle w:val="FootnoteReference"/>
        </w:rPr>
        <w:footnoteRef/>
      </w:r>
      <w:r>
        <w:rPr>
          <w:lang w:val="en-US"/>
        </w:rPr>
        <w:t xml:space="preserve"> </w:t>
      </w:r>
      <w:r>
        <w:rPr>
          <w:lang w:val="en-US"/>
        </w:rPr>
        <w:tab/>
        <w:t>UNEP/POPS/COP.3/INF/24.</w:t>
      </w:r>
    </w:p>
  </w:footnote>
  <w:footnote w:id="2">
    <w:p w:rsidR="00207645" w:rsidRDefault="00207645" w:rsidP="00207645">
      <w:pPr>
        <w:pStyle w:val="FootnoteText"/>
        <w:rPr>
          <w:lang w:val="en-US"/>
        </w:rPr>
      </w:pPr>
      <w:r>
        <w:rPr>
          <w:rStyle w:val="FootnoteReference"/>
        </w:rPr>
        <w:footnoteRef/>
      </w:r>
      <w:r>
        <w:rPr>
          <w:lang w:val="en-US"/>
        </w:rPr>
        <w:t xml:space="preserve"> </w:t>
      </w:r>
      <w:r>
        <w:rPr>
          <w:lang w:val="en-US"/>
        </w:rPr>
        <w:tab/>
        <w:t>UNEP/POPS/COP.3/INF/6.</w:t>
      </w:r>
    </w:p>
  </w:footnote>
  <w:footnote w:id="3">
    <w:p w:rsidR="00207645" w:rsidRDefault="00207645" w:rsidP="00207645">
      <w:pPr>
        <w:pStyle w:val="FootnoteText"/>
        <w:rPr>
          <w:lang w:val="ru-RU"/>
        </w:rPr>
      </w:pPr>
      <w:r>
        <w:rPr>
          <w:rStyle w:val="FootnoteReference"/>
        </w:rPr>
        <w:footnoteRef/>
      </w:r>
      <w:r>
        <w:rPr>
          <w:lang w:val="ru-RU"/>
        </w:rPr>
        <w:t xml:space="preserve"> </w:t>
      </w:r>
      <w:r>
        <w:rPr>
          <w:lang w:val="ru-RU"/>
        </w:rPr>
        <w:tab/>
        <w:t xml:space="preserve">Совещание экспертов по </w:t>
      </w:r>
      <w:r>
        <w:rPr>
          <w:szCs w:val="24"/>
          <w:lang w:val="ru-RU"/>
        </w:rPr>
        <w:t>Набору инструментальных средств, состоявшееся 13-15 декабря 2006 года в Женеве, было рекомендовано участниками в качестве приемлемой модели решения вопроса участия в будущих совещаниях.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207645"/>
    <w:rsid w:val="000B18ED"/>
    <w:rsid w:val="00207645"/>
    <w:rsid w:val="00DA5460"/>
    <w:rsid w:val="00DD6E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5"/>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link w:val="FootnoteTextChar"/>
    <w:semiHidden/>
    <w:rsid w:val="00207645"/>
    <w:pPr>
      <w:spacing w:after="120" w:line="240" w:lineRule="auto"/>
      <w:ind w:left="1247" w:firstLine="624"/>
    </w:pPr>
    <w:rPr>
      <w:rFonts w:ascii="Times New Roman" w:eastAsia="Times New Roman" w:hAnsi="Times New Roman" w:cs="Times New Roman"/>
      <w:sz w:val="18"/>
      <w:szCs w:val="18"/>
      <w:lang w:eastAsia="en-US"/>
    </w:rPr>
  </w:style>
  <w:style w:type="character" w:customStyle="1" w:styleId="FootnoteTextChar">
    <w:name w:val="Footnote Text Char"/>
    <w:basedOn w:val="DefaultParagraphFont"/>
    <w:link w:val="FootnoteText"/>
    <w:semiHidden/>
    <w:rsid w:val="00207645"/>
    <w:rPr>
      <w:rFonts w:ascii="Times New Roman" w:eastAsia="Times New Roman" w:hAnsi="Times New Roman" w:cs="Times New Roman"/>
      <w:sz w:val="18"/>
      <w:szCs w:val="18"/>
      <w:lang w:eastAsia="en-US"/>
    </w:rPr>
  </w:style>
  <w:style w:type="character" w:styleId="FootnoteReference">
    <w:name w:val="footnote reference"/>
    <w:aliases w:val="16 Point,Superscript 6 Point"/>
    <w:basedOn w:val="DefaultParagraphFont"/>
    <w:semiHidden/>
    <w:rsid w:val="00207645"/>
    <w:rPr>
      <w:rFonts w:ascii="Times New Roman" w:hAnsi="Times New Roman"/>
      <w:color w:val="auto"/>
      <w:sz w:val="18"/>
      <w:szCs w:val="18"/>
      <w:u w:val="none"/>
      <w:vertAlign w:val="superscript"/>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2014-11-11T13:41:00Z</dcterms:created>
  <dcterms:modified xsi:type="dcterms:W3CDTF">2014-11-11T13:41:00Z</dcterms:modified>
</cp:coreProperties>
</file>